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96" w:rsidRPr="00924396" w:rsidRDefault="00924396" w:rsidP="00064D54">
      <w:pPr>
        <w:spacing w:after="0" w:line="240" w:lineRule="auto"/>
        <w:ind w:firstLine="720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 w:rsidRPr="00924396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DLT: Annual General Mandate</w:t>
      </w:r>
    </w:p>
    <w:p w:rsidR="00064D54" w:rsidRPr="00064D54" w:rsidRDefault="00064D54" w:rsidP="00064D54">
      <w:pPr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064D5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On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25 April 2017, </w:t>
      </w:r>
      <w:r w:rsidRPr="009E4419">
        <w:rPr>
          <w:rFonts w:ascii="Arial" w:hAnsi="Arial" w:cs="Arial"/>
          <w:sz w:val="20"/>
          <w:szCs w:val="20"/>
        </w:rPr>
        <w:t>Travel and Trading Joint Stock Company</w:t>
      </w:r>
      <w:r w:rsidR="000B0C76">
        <w:rPr>
          <w:rFonts w:ascii="Arial" w:hAnsi="Arial" w:cs="Arial"/>
          <w:sz w:val="20"/>
          <w:szCs w:val="20"/>
        </w:rPr>
        <w:t xml:space="preserve"> </w:t>
      </w:r>
      <w:r w:rsidRPr="009E4419">
        <w:rPr>
          <w:rFonts w:ascii="Arial" w:hAnsi="Arial" w:cs="Arial"/>
          <w:sz w:val="20"/>
          <w:szCs w:val="20"/>
        </w:rPr>
        <w:t>-</w:t>
      </w:r>
      <w:r w:rsidR="000B0C76">
        <w:rPr>
          <w:rFonts w:ascii="Arial" w:hAnsi="Arial" w:cs="Arial"/>
          <w:sz w:val="20"/>
          <w:szCs w:val="20"/>
        </w:rPr>
        <w:t xml:space="preserve"> </w:t>
      </w:r>
      <w:r w:rsidRPr="009E4419">
        <w:rPr>
          <w:rFonts w:ascii="Arial" w:hAnsi="Arial" w:cs="Arial"/>
          <w:sz w:val="20"/>
          <w:szCs w:val="20"/>
        </w:rPr>
        <w:t xml:space="preserve">Vinacomin </w:t>
      </w:r>
      <w:r w:rsidR="0092439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announced the </w:t>
      </w:r>
      <w:r w:rsidR="00924396" w:rsidRPr="0092439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Annual General Mandate</w:t>
      </w:r>
      <w:r w:rsidR="0092439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as follows:</w:t>
      </w:r>
    </w:p>
    <w:p w:rsidR="00064D54" w:rsidRPr="00064D54" w:rsidRDefault="00064D54" w:rsidP="00064D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064D54">
        <w:rPr>
          <w:rFonts w:ascii="Arial" w:eastAsia="Times New Roman" w:hAnsi="Arial" w:cs="Arial"/>
          <w:color w:val="222222"/>
          <w:sz w:val="24"/>
          <w:szCs w:val="24"/>
        </w:rPr>
        <w:t>​</w:t>
      </w:r>
    </w:p>
    <w:p w:rsidR="00064D54" w:rsidRPr="000B0C76" w:rsidRDefault="00064D54" w:rsidP="000B0C76">
      <w:pPr>
        <w:spacing w:before="60" w:after="60" w:line="276" w:lineRule="auto"/>
        <w:jc w:val="both"/>
        <w:rPr>
          <w:rFonts w:ascii="Arial" w:hAnsi="Arial" w:cs="Arial"/>
          <w:b/>
          <w:sz w:val="2"/>
          <w:szCs w:val="20"/>
        </w:rPr>
      </w:pPr>
    </w:p>
    <w:p w:rsidR="00B970F8" w:rsidRPr="009E4419" w:rsidRDefault="00A25CF3" w:rsidP="007B430B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E4419">
        <w:rPr>
          <w:rFonts w:ascii="Arial" w:hAnsi="Arial" w:cs="Arial"/>
          <w:b/>
          <w:sz w:val="20"/>
          <w:szCs w:val="20"/>
        </w:rPr>
        <w:t>Article I</w:t>
      </w:r>
      <w:r w:rsidR="00B970F8" w:rsidRPr="009E4419">
        <w:rPr>
          <w:rFonts w:ascii="Arial" w:hAnsi="Arial" w:cs="Arial"/>
          <w:b/>
          <w:sz w:val="20"/>
          <w:szCs w:val="20"/>
        </w:rPr>
        <w:t>: Unanimously approve the contents presented and discussed at the annual meeting in 2017 of the General Meeting of Sha</w:t>
      </w:r>
      <w:bookmarkStart w:id="0" w:name="_GoBack"/>
      <w:bookmarkEnd w:id="0"/>
      <w:r w:rsidR="00B970F8" w:rsidRPr="009E4419">
        <w:rPr>
          <w:rFonts w:ascii="Arial" w:hAnsi="Arial" w:cs="Arial"/>
          <w:b/>
          <w:sz w:val="20"/>
          <w:szCs w:val="20"/>
        </w:rPr>
        <w:t>reholders, including:</w:t>
      </w:r>
    </w:p>
    <w:p w:rsidR="00B970F8" w:rsidRPr="009E4419" w:rsidRDefault="00983612" w:rsidP="007B430B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E4419">
        <w:rPr>
          <w:rFonts w:ascii="Arial" w:hAnsi="Arial" w:cs="Arial"/>
          <w:b/>
          <w:sz w:val="20"/>
          <w:szCs w:val="20"/>
        </w:rPr>
        <w:t>1. Approve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the report on business results in 2016, orientations and tasks in 2017 with the following basic criteria: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1.1. Business </w:t>
      </w:r>
      <w:r w:rsidR="009E4419">
        <w:rPr>
          <w:rFonts w:ascii="Arial" w:hAnsi="Arial" w:cs="Arial"/>
          <w:sz w:val="20"/>
          <w:szCs w:val="20"/>
        </w:rPr>
        <w:t xml:space="preserve">and production </w:t>
      </w:r>
      <w:r w:rsidRPr="009E4419">
        <w:rPr>
          <w:rFonts w:ascii="Arial" w:hAnsi="Arial" w:cs="Arial"/>
          <w:sz w:val="20"/>
          <w:szCs w:val="20"/>
        </w:rPr>
        <w:t>activities: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596"/>
        <w:gridCol w:w="1780"/>
        <w:gridCol w:w="1791"/>
        <w:gridCol w:w="1783"/>
      </w:tblGrid>
      <w:tr w:rsidR="00A21C75" w:rsidRPr="009E4419">
        <w:tc>
          <w:tcPr>
            <w:tcW w:w="978" w:type="dxa"/>
            <w:shd w:val="clear" w:color="auto" w:fill="auto"/>
          </w:tcPr>
          <w:p w:rsidR="00A21C75" w:rsidRPr="009E4419" w:rsidRDefault="00A25CF3" w:rsidP="00A21C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596" w:type="dxa"/>
            <w:shd w:val="clear" w:color="auto" w:fill="auto"/>
          </w:tcPr>
          <w:p w:rsidR="00A21C75" w:rsidRPr="009E4419" w:rsidRDefault="00A25CF3" w:rsidP="00A21C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1780" w:type="dxa"/>
            <w:shd w:val="clear" w:color="auto" w:fill="auto"/>
          </w:tcPr>
          <w:p w:rsidR="00A21C75" w:rsidRPr="009E4419" w:rsidRDefault="00A25CF3" w:rsidP="00A21C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791" w:type="dxa"/>
            <w:shd w:val="clear" w:color="auto" w:fill="auto"/>
          </w:tcPr>
          <w:p w:rsidR="00A21C75" w:rsidRPr="009E4419" w:rsidRDefault="00A25CF3" w:rsidP="009E44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 xml:space="preserve">Performance in </w:t>
            </w:r>
            <w:r w:rsidR="00A21C75" w:rsidRPr="009E4419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783" w:type="dxa"/>
            <w:shd w:val="clear" w:color="auto" w:fill="auto"/>
          </w:tcPr>
          <w:p w:rsidR="00A21C75" w:rsidRPr="009E4419" w:rsidRDefault="00A25CF3" w:rsidP="00A21C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 xml:space="preserve">Plan in </w:t>
            </w:r>
            <w:r w:rsidR="00A21C75" w:rsidRPr="009E4419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A25CF3" w:rsidRPr="009E4419">
        <w:tc>
          <w:tcPr>
            <w:tcW w:w="978" w:type="dxa"/>
            <w:shd w:val="clear" w:color="auto" w:fill="auto"/>
          </w:tcPr>
          <w:p w:rsidR="00A25CF3" w:rsidRPr="009E4419" w:rsidRDefault="00A25CF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6" w:type="dxa"/>
            <w:shd w:val="clear" w:color="auto" w:fill="auto"/>
          </w:tcPr>
          <w:p w:rsidR="00A25CF3" w:rsidRPr="009E4419" w:rsidRDefault="00A25CF3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 xml:space="preserve">Revenue </w:t>
            </w:r>
          </w:p>
        </w:tc>
        <w:tc>
          <w:tcPr>
            <w:tcW w:w="1780" w:type="dxa"/>
            <w:shd w:val="clear" w:color="auto" w:fill="auto"/>
          </w:tcPr>
          <w:p w:rsidR="00A25CF3" w:rsidRPr="009E4419" w:rsidRDefault="00AF4A13" w:rsidP="009836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983612" w:rsidRPr="009E4419">
              <w:rPr>
                <w:rFonts w:ascii="Arial" w:hAnsi="Arial" w:cs="Arial"/>
                <w:sz w:val="20"/>
                <w:szCs w:val="20"/>
              </w:rPr>
              <w:t>Billion</w:t>
            </w:r>
          </w:p>
        </w:tc>
        <w:tc>
          <w:tcPr>
            <w:tcW w:w="1791" w:type="dxa"/>
            <w:shd w:val="clear" w:color="auto" w:fill="auto"/>
          </w:tcPr>
          <w:p w:rsidR="00A25CF3" w:rsidRPr="009E4419" w:rsidRDefault="00A25CF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1.246,5</w:t>
            </w:r>
          </w:p>
        </w:tc>
        <w:tc>
          <w:tcPr>
            <w:tcW w:w="1783" w:type="dxa"/>
            <w:shd w:val="clear" w:color="auto" w:fill="auto"/>
          </w:tcPr>
          <w:p w:rsidR="00A25CF3" w:rsidRPr="009E4419" w:rsidRDefault="00A25CF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1.114,7</w:t>
            </w:r>
          </w:p>
        </w:tc>
      </w:tr>
      <w:tr w:rsidR="00AF4A13" w:rsidRPr="009E4419">
        <w:tc>
          <w:tcPr>
            <w:tcW w:w="978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AF4A13" w:rsidRPr="009E4419" w:rsidRDefault="00AF4A13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Production value</w:t>
            </w:r>
          </w:p>
        </w:tc>
        <w:tc>
          <w:tcPr>
            <w:tcW w:w="1780" w:type="dxa"/>
            <w:shd w:val="clear" w:color="auto" w:fill="auto"/>
          </w:tcPr>
          <w:p w:rsidR="00AF4A13" w:rsidRDefault="00AF4A13">
            <w:r w:rsidRPr="00FC74C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791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80,2</w:t>
            </w:r>
          </w:p>
        </w:tc>
        <w:tc>
          <w:tcPr>
            <w:tcW w:w="1783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AF4A13" w:rsidRPr="009E4419">
        <w:tc>
          <w:tcPr>
            <w:tcW w:w="978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AF4A13" w:rsidRPr="009E4419" w:rsidRDefault="00AF4A13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780" w:type="dxa"/>
            <w:shd w:val="clear" w:color="auto" w:fill="auto"/>
          </w:tcPr>
          <w:p w:rsidR="00AF4A13" w:rsidRDefault="00AF4A13">
            <w:r w:rsidRPr="00FC74C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791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783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4A13" w:rsidRPr="009E4419">
        <w:tc>
          <w:tcPr>
            <w:tcW w:w="978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:rsidR="00AF4A13" w:rsidRPr="009E4419" w:rsidRDefault="00AF4A13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Dividend/</w:t>
            </w:r>
            <w:r w:rsidRPr="009E4419">
              <w:rPr>
                <w:rFonts w:ascii="Arial" w:hAnsi="Arial" w:cs="Arial"/>
                <w:sz w:val="20"/>
                <w:szCs w:val="20"/>
              </w:rPr>
              <w:t>Share capital</w:t>
            </w:r>
          </w:p>
        </w:tc>
        <w:tc>
          <w:tcPr>
            <w:tcW w:w="1780" w:type="dxa"/>
            <w:shd w:val="clear" w:color="auto" w:fill="auto"/>
          </w:tcPr>
          <w:p w:rsidR="00AF4A13" w:rsidRDefault="00AF4A13">
            <w:r w:rsidRPr="00FC74C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791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83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F4A13" w:rsidRPr="009E4419">
        <w:tc>
          <w:tcPr>
            <w:tcW w:w="978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AF4A13" w:rsidRPr="009E4419" w:rsidRDefault="00AF4A13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>tal salary fund</w:t>
            </w:r>
            <w:r w:rsidRPr="009E44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AF4A13" w:rsidRDefault="00AF4A13">
            <w:r w:rsidRPr="00FC74C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791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83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30,826</w:t>
            </w:r>
          </w:p>
        </w:tc>
      </w:tr>
      <w:tr w:rsidR="00AF4A13" w:rsidRPr="009E4419">
        <w:tc>
          <w:tcPr>
            <w:tcW w:w="978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AF4A13" w:rsidRPr="009E4419" w:rsidRDefault="00AF4A13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wage/person/</w:t>
            </w:r>
            <w:r w:rsidRPr="009E4419"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1780" w:type="dxa"/>
            <w:shd w:val="clear" w:color="auto" w:fill="auto"/>
          </w:tcPr>
          <w:p w:rsidR="00AF4A13" w:rsidRDefault="00AF4A13">
            <w:r w:rsidRPr="00FC74C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791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  <w:tc>
          <w:tcPr>
            <w:tcW w:w="1783" w:type="dxa"/>
            <w:shd w:val="clear" w:color="auto" w:fill="auto"/>
          </w:tcPr>
          <w:p w:rsidR="00AF4A13" w:rsidRPr="009E4419" w:rsidRDefault="00AF4A13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9,17</w:t>
            </w:r>
          </w:p>
        </w:tc>
      </w:tr>
    </w:tbl>
    <w:p w:rsidR="00A21C75" w:rsidRPr="009E4419" w:rsidRDefault="00A21C75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1.2. </w:t>
      </w:r>
      <w:r w:rsidR="009459B0" w:rsidRPr="009E4419">
        <w:rPr>
          <w:rFonts w:ascii="Arial" w:hAnsi="Arial" w:cs="Arial"/>
          <w:sz w:val="20"/>
          <w:szCs w:val="20"/>
        </w:rPr>
        <w:t>Basic</w:t>
      </w:r>
      <w:r w:rsidRPr="009E4419">
        <w:rPr>
          <w:rFonts w:ascii="Arial" w:hAnsi="Arial" w:cs="Arial"/>
          <w:sz w:val="20"/>
          <w:szCs w:val="20"/>
        </w:rPr>
        <w:t xml:space="preserve"> construction investment activities:</w:t>
      </w:r>
    </w:p>
    <w:p w:rsidR="00B970F8" w:rsidRPr="009E4419" w:rsidRDefault="009459B0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*) In 2016: The value of basic construction investment is 2,</w:t>
      </w:r>
      <w:r w:rsidR="00B970F8" w:rsidRPr="009E4419">
        <w:rPr>
          <w:rFonts w:ascii="Arial" w:hAnsi="Arial" w:cs="Arial"/>
          <w:sz w:val="20"/>
          <w:szCs w:val="20"/>
        </w:rPr>
        <w:t>932 billion VND = 73.3% of the plan</w:t>
      </w:r>
    </w:p>
    <w:p w:rsidR="00B970F8" w:rsidRPr="009E4419" w:rsidRDefault="00DD0EB7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*) Plan of </w:t>
      </w:r>
      <w:r w:rsidR="00B13942" w:rsidRPr="009E4419">
        <w:rPr>
          <w:rFonts w:ascii="Arial" w:hAnsi="Arial" w:cs="Arial"/>
          <w:sz w:val="20"/>
          <w:szCs w:val="20"/>
        </w:rPr>
        <w:t xml:space="preserve">basic construction investment </w:t>
      </w:r>
      <w:r w:rsidR="00B970F8" w:rsidRPr="009E4419">
        <w:rPr>
          <w:rFonts w:ascii="Arial" w:hAnsi="Arial" w:cs="Arial"/>
          <w:sz w:val="20"/>
          <w:szCs w:val="20"/>
        </w:rPr>
        <w:t>in 2017:</w:t>
      </w:r>
    </w:p>
    <w:p w:rsidR="00B970F8" w:rsidRPr="009E4419" w:rsidRDefault="00B13942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- Approve</w:t>
      </w:r>
      <w:r w:rsidR="00B970F8" w:rsidRPr="009E4419">
        <w:rPr>
          <w:rFonts w:ascii="Arial" w:hAnsi="Arial" w:cs="Arial"/>
          <w:sz w:val="20"/>
          <w:szCs w:val="20"/>
        </w:rPr>
        <w:t xml:space="preserve"> the </w:t>
      </w:r>
      <w:r w:rsidRPr="009E4419">
        <w:rPr>
          <w:rFonts w:ascii="Arial" w:hAnsi="Arial" w:cs="Arial"/>
          <w:sz w:val="20"/>
          <w:szCs w:val="20"/>
        </w:rPr>
        <w:t xml:space="preserve">proposal of </w:t>
      </w:r>
      <w:r w:rsidR="00B970F8" w:rsidRPr="009E4419">
        <w:rPr>
          <w:rFonts w:ascii="Arial" w:hAnsi="Arial" w:cs="Arial"/>
          <w:sz w:val="20"/>
          <w:szCs w:val="20"/>
        </w:rPr>
        <w:t xml:space="preserve">investment </w:t>
      </w:r>
      <w:r w:rsidRPr="009E4419">
        <w:rPr>
          <w:rFonts w:ascii="Arial" w:hAnsi="Arial" w:cs="Arial"/>
          <w:sz w:val="20"/>
          <w:szCs w:val="20"/>
        </w:rPr>
        <w:t>in</w:t>
      </w:r>
      <w:r w:rsidR="00B970F8" w:rsidRPr="009E4419">
        <w:rPr>
          <w:rFonts w:ascii="Arial" w:hAnsi="Arial" w:cs="Arial"/>
          <w:sz w:val="20"/>
          <w:szCs w:val="20"/>
        </w:rPr>
        <w:t xml:space="preserve"> the hot mineral bath</w:t>
      </w:r>
      <w:r w:rsidR="009E4419">
        <w:rPr>
          <w:rFonts w:ascii="Arial" w:hAnsi="Arial" w:cs="Arial"/>
          <w:sz w:val="20"/>
          <w:szCs w:val="20"/>
        </w:rPr>
        <w:t xml:space="preserve"> zone at Van Long Hotel</w:t>
      </w:r>
      <w:r w:rsidR="007B506D" w:rsidRPr="009E4419">
        <w:rPr>
          <w:rFonts w:ascii="Arial" w:hAnsi="Arial" w:cs="Arial"/>
          <w:sz w:val="20"/>
          <w:szCs w:val="20"/>
        </w:rPr>
        <w:t xml:space="preserve">; </w:t>
      </w:r>
      <w:r w:rsidRPr="009E4419">
        <w:rPr>
          <w:rFonts w:ascii="Arial" w:hAnsi="Arial" w:cs="Arial"/>
          <w:sz w:val="20"/>
          <w:szCs w:val="20"/>
        </w:rPr>
        <w:t>assign the Board of Directors to</w:t>
      </w:r>
      <w:r w:rsidR="00B970F8" w:rsidRPr="009E4419">
        <w:rPr>
          <w:rFonts w:ascii="Arial" w:hAnsi="Arial" w:cs="Arial"/>
          <w:sz w:val="20"/>
          <w:szCs w:val="20"/>
        </w:rPr>
        <w:t xml:space="preserve"> </w:t>
      </w:r>
      <w:r w:rsidR="007B506D" w:rsidRPr="009E4419">
        <w:rPr>
          <w:rFonts w:ascii="Arial" w:hAnsi="Arial" w:cs="Arial"/>
          <w:sz w:val="20"/>
          <w:szCs w:val="20"/>
        </w:rPr>
        <w:t xml:space="preserve">steer </w:t>
      </w:r>
      <w:r w:rsidR="00B970F8" w:rsidRPr="009E4419">
        <w:rPr>
          <w:rFonts w:ascii="Arial" w:hAnsi="Arial" w:cs="Arial"/>
          <w:sz w:val="20"/>
          <w:szCs w:val="20"/>
        </w:rPr>
        <w:t>the pre-feasibility repor</w:t>
      </w:r>
      <w:r w:rsidR="007B506D" w:rsidRPr="009E4419">
        <w:rPr>
          <w:rFonts w:ascii="Arial" w:hAnsi="Arial" w:cs="Arial"/>
          <w:sz w:val="20"/>
          <w:szCs w:val="20"/>
        </w:rPr>
        <w:t>t and specific business plan for</w:t>
      </w:r>
      <w:r w:rsidR="00B970F8" w:rsidRPr="009E4419">
        <w:rPr>
          <w:rFonts w:ascii="Arial" w:hAnsi="Arial" w:cs="Arial"/>
          <w:sz w:val="20"/>
          <w:szCs w:val="20"/>
        </w:rPr>
        <w:t xml:space="preserve"> submi</w:t>
      </w:r>
      <w:r w:rsidR="007B506D" w:rsidRPr="009E4419">
        <w:rPr>
          <w:rFonts w:ascii="Arial" w:hAnsi="Arial" w:cs="Arial"/>
          <w:sz w:val="20"/>
          <w:szCs w:val="20"/>
        </w:rPr>
        <w:t>ssion</w:t>
      </w:r>
      <w:r w:rsidR="00B970F8" w:rsidRPr="009E4419">
        <w:rPr>
          <w:rFonts w:ascii="Arial" w:hAnsi="Arial" w:cs="Arial"/>
          <w:sz w:val="20"/>
          <w:szCs w:val="20"/>
        </w:rPr>
        <w:t xml:space="preserve"> to the General Meeting of Shareholders </w:t>
      </w:r>
      <w:r w:rsidR="009E4419">
        <w:rPr>
          <w:rFonts w:ascii="Arial" w:hAnsi="Arial" w:cs="Arial"/>
          <w:sz w:val="20"/>
          <w:szCs w:val="20"/>
        </w:rPr>
        <w:t>for permission</w:t>
      </w:r>
      <w:r w:rsidR="00B970F8" w:rsidRPr="009E4419">
        <w:rPr>
          <w:rFonts w:ascii="Arial" w:hAnsi="Arial" w:cs="Arial"/>
          <w:sz w:val="20"/>
          <w:szCs w:val="20"/>
        </w:rPr>
        <w:t xml:space="preserve"> at the ext</w:t>
      </w:r>
      <w:r w:rsidR="007B506D" w:rsidRPr="009E4419">
        <w:rPr>
          <w:rFonts w:ascii="Arial" w:hAnsi="Arial" w:cs="Arial"/>
          <w:sz w:val="20"/>
          <w:szCs w:val="20"/>
        </w:rPr>
        <w:t xml:space="preserve">raordinary meeting </w:t>
      </w:r>
      <w:r w:rsidR="00B970F8" w:rsidRPr="009E4419">
        <w:rPr>
          <w:rFonts w:ascii="Arial" w:hAnsi="Arial" w:cs="Arial"/>
          <w:sz w:val="20"/>
          <w:szCs w:val="20"/>
        </w:rPr>
        <w:t>2017 or next year's annual meeting as the basis for implementation.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- </w:t>
      </w:r>
      <w:r w:rsidR="00FE0BC3" w:rsidRPr="009E4419">
        <w:rPr>
          <w:rFonts w:ascii="Arial" w:hAnsi="Arial" w:cs="Arial"/>
          <w:sz w:val="20"/>
          <w:szCs w:val="20"/>
        </w:rPr>
        <w:t>Approve the total investment plan of VND 8.</w:t>
      </w:r>
      <w:r w:rsidRPr="009E4419">
        <w:rPr>
          <w:rFonts w:ascii="Arial" w:hAnsi="Arial" w:cs="Arial"/>
          <w:sz w:val="20"/>
          <w:szCs w:val="20"/>
        </w:rPr>
        <w:t>320 million, with the following items:</w:t>
      </w:r>
    </w:p>
    <w:p w:rsidR="00B970F8" w:rsidRPr="009E4419" w:rsidRDefault="001F4CD5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+ Upgrade</w:t>
      </w:r>
      <w:r w:rsidR="00B970F8" w:rsidRPr="009E4419">
        <w:rPr>
          <w:rFonts w:ascii="Arial" w:hAnsi="Arial" w:cs="Arial"/>
          <w:sz w:val="20"/>
          <w:szCs w:val="20"/>
        </w:rPr>
        <w:t xml:space="preserve"> </w:t>
      </w:r>
      <w:r w:rsidR="00FE0BC3" w:rsidRPr="009E4419">
        <w:rPr>
          <w:rFonts w:ascii="Arial" w:hAnsi="Arial" w:cs="Arial"/>
          <w:sz w:val="20"/>
          <w:szCs w:val="20"/>
        </w:rPr>
        <w:t>canteen of Bien Dong Hotel: VND 3.</w:t>
      </w:r>
      <w:r w:rsidR="00B970F8" w:rsidRPr="009E4419">
        <w:rPr>
          <w:rFonts w:ascii="Arial" w:hAnsi="Arial" w:cs="Arial"/>
          <w:sz w:val="20"/>
          <w:szCs w:val="20"/>
        </w:rPr>
        <w:t>000 million</w:t>
      </w:r>
    </w:p>
    <w:p w:rsidR="00B970F8" w:rsidRPr="009E4419" w:rsidRDefault="00FE0BC3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+ Invest</w:t>
      </w:r>
      <w:r w:rsidR="001F4CD5" w:rsidRPr="009E4419">
        <w:rPr>
          <w:rFonts w:ascii="Arial" w:hAnsi="Arial" w:cs="Arial"/>
          <w:sz w:val="20"/>
          <w:szCs w:val="20"/>
        </w:rPr>
        <w:t xml:space="preserve">ment in </w:t>
      </w:r>
      <w:r w:rsidR="00B970F8" w:rsidRPr="009E4419">
        <w:rPr>
          <w:rFonts w:ascii="Arial" w:hAnsi="Arial" w:cs="Arial"/>
          <w:sz w:val="20"/>
          <w:szCs w:val="20"/>
        </w:rPr>
        <w:t xml:space="preserve">management software </w:t>
      </w:r>
      <w:r w:rsidR="001F4CD5" w:rsidRPr="009E4419">
        <w:rPr>
          <w:rFonts w:ascii="Arial" w:hAnsi="Arial" w:cs="Arial"/>
          <w:sz w:val="20"/>
          <w:szCs w:val="20"/>
        </w:rPr>
        <w:t>of Bien Dong Hotel</w:t>
      </w:r>
      <w:r w:rsidR="00B970F8" w:rsidRPr="009E4419">
        <w:rPr>
          <w:rFonts w:ascii="Arial" w:hAnsi="Arial" w:cs="Arial"/>
          <w:sz w:val="20"/>
          <w:szCs w:val="20"/>
        </w:rPr>
        <w:t xml:space="preserve">: </w:t>
      </w:r>
      <w:r w:rsidRPr="009E4419">
        <w:rPr>
          <w:rFonts w:ascii="Arial" w:hAnsi="Arial" w:cs="Arial"/>
          <w:sz w:val="20"/>
          <w:szCs w:val="20"/>
        </w:rPr>
        <w:t xml:space="preserve">VND </w:t>
      </w:r>
      <w:r w:rsidR="00B970F8" w:rsidRPr="009E4419">
        <w:rPr>
          <w:rFonts w:ascii="Arial" w:hAnsi="Arial" w:cs="Arial"/>
          <w:sz w:val="20"/>
          <w:szCs w:val="20"/>
        </w:rPr>
        <w:t>150 million</w:t>
      </w:r>
    </w:p>
    <w:p w:rsidR="00B970F8" w:rsidRPr="009E4419" w:rsidRDefault="001F4CD5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Investment in </w:t>
      </w:r>
      <w:r w:rsidR="00B970F8" w:rsidRPr="009E4419">
        <w:rPr>
          <w:rFonts w:ascii="Arial" w:hAnsi="Arial" w:cs="Arial"/>
          <w:sz w:val="20"/>
          <w:szCs w:val="20"/>
        </w:rPr>
        <w:t>security camera</w:t>
      </w:r>
      <w:r w:rsidR="0036222B">
        <w:rPr>
          <w:rFonts w:ascii="Arial" w:hAnsi="Arial" w:cs="Arial"/>
          <w:sz w:val="20"/>
          <w:szCs w:val="20"/>
        </w:rPr>
        <w:t>s</w:t>
      </w:r>
      <w:r w:rsidR="00B970F8" w:rsidRPr="009E4419">
        <w:rPr>
          <w:rFonts w:ascii="Arial" w:hAnsi="Arial" w:cs="Arial"/>
          <w:sz w:val="20"/>
          <w:szCs w:val="20"/>
        </w:rPr>
        <w:t xml:space="preserve"> </w:t>
      </w:r>
      <w:r w:rsidRPr="009E4419">
        <w:rPr>
          <w:rFonts w:ascii="Arial" w:hAnsi="Arial" w:cs="Arial"/>
          <w:sz w:val="20"/>
          <w:szCs w:val="20"/>
        </w:rPr>
        <w:t xml:space="preserve">of </w:t>
      </w:r>
      <w:r w:rsidR="00B970F8" w:rsidRPr="009E4419">
        <w:rPr>
          <w:rFonts w:ascii="Arial" w:hAnsi="Arial" w:cs="Arial"/>
          <w:sz w:val="20"/>
          <w:szCs w:val="20"/>
        </w:rPr>
        <w:t>Van Long</w:t>
      </w:r>
      <w:r w:rsidRPr="009E4419">
        <w:rPr>
          <w:rFonts w:ascii="Arial" w:hAnsi="Arial" w:cs="Arial"/>
          <w:sz w:val="20"/>
          <w:szCs w:val="20"/>
        </w:rPr>
        <w:t xml:space="preserve"> Hotel</w:t>
      </w:r>
      <w:r w:rsidR="00B970F8" w:rsidRPr="009E4419">
        <w:rPr>
          <w:rFonts w:ascii="Arial" w:hAnsi="Arial" w:cs="Arial"/>
          <w:sz w:val="20"/>
          <w:szCs w:val="20"/>
        </w:rPr>
        <w:t xml:space="preserve">: </w:t>
      </w:r>
      <w:r w:rsidRPr="009E4419">
        <w:rPr>
          <w:rFonts w:ascii="Arial" w:hAnsi="Arial" w:cs="Arial"/>
          <w:sz w:val="20"/>
          <w:szCs w:val="20"/>
        </w:rPr>
        <w:t xml:space="preserve">VND </w:t>
      </w:r>
      <w:r w:rsidR="00B970F8" w:rsidRPr="009E4419">
        <w:rPr>
          <w:rFonts w:ascii="Arial" w:hAnsi="Arial" w:cs="Arial"/>
          <w:sz w:val="20"/>
          <w:szCs w:val="20"/>
        </w:rPr>
        <w:t>200 million</w:t>
      </w:r>
    </w:p>
    <w:p w:rsidR="00B970F8" w:rsidRPr="009E4419" w:rsidRDefault="001F4CD5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Investment in </w:t>
      </w:r>
      <w:r w:rsidR="00B970F8" w:rsidRPr="009E4419">
        <w:rPr>
          <w:rFonts w:ascii="Arial" w:hAnsi="Arial" w:cs="Arial"/>
          <w:sz w:val="20"/>
          <w:szCs w:val="20"/>
        </w:rPr>
        <w:t xml:space="preserve">flower garden </w:t>
      </w:r>
      <w:r w:rsidRPr="009E4419">
        <w:rPr>
          <w:rFonts w:ascii="Arial" w:hAnsi="Arial" w:cs="Arial"/>
          <w:sz w:val="20"/>
          <w:szCs w:val="20"/>
        </w:rPr>
        <w:t xml:space="preserve">in </w:t>
      </w:r>
      <w:r w:rsidR="00B970F8" w:rsidRPr="009E4419">
        <w:rPr>
          <w:rFonts w:ascii="Arial" w:hAnsi="Arial" w:cs="Arial"/>
          <w:sz w:val="20"/>
          <w:szCs w:val="20"/>
        </w:rPr>
        <w:t>front</w:t>
      </w:r>
      <w:r w:rsidRPr="009E4419">
        <w:rPr>
          <w:rFonts w:ascii="Arial" w:hAnsi="Arial" w:cs="Arial"/>
          <w:sz w:val="20"/>
          <w:szCs w:val="20"/>
        </w:rPr>
        <w:t xml:space="preserve"> of </w:t>
      </w:r>
      <w:r w:rsidR="00B970F8" w:rsidRPr="009E4419">
        <w:rPr>
          <w:rFonts w:ascii="Arial" w:hAnsi="Arial" w:cs="Arial"/>
          <w:sz w:val="20"/>
          <w:szCs w:val="20"/>
        </w:rPr>
        <w:t>Van Long</w:t>
      </w:r>
      <w:r w:rsidRPr="009E4419">
        <w:rPr>
          <w:rFonts w:ascii="Arial" w:hAnsi="Arial" w:cs="Arial"/>
          <w:sz w:val="20"/>
          <w:szCs w:val="20"/>
        </w:rPr>
        <w:t xml:space="preserve"> Hotel</w:t>
      </w:r>
      <w:r w:rsidR="00B970F8" w:rsidRPr="009E4419">
        <w:rPr>
          <w:rFonts w:ascii="Arial" w:hAnsi="Arial" w:cs="Arial"/>
          <w:sz w:val="20"/>
          <w:szCs w:val="20"/>
        </w:rPr>
        <w:t xml:space="preserve">: </w:t>
      </w:r>
      <w:r w:rsidRPr="009E4419">
        <w:rPr>
          <w:rFonts w:ascii="Arial" w:hAnsi="Arial" w:cs="Arial"/>
          <w:sz w:val="20"/>
          <w:szCs w:val="20"/>
        </w:rPr>
        <w:t xml:space="preserve">VND </w:t>
      </w:r>
      <w:r w:rsidR="00B970F8" w:rsidRPr="009E4419">
        <w:rPr>
          <w:rFonts w:ascii="Arial" w:hAnsi="Arial" w:cs="Arial"/>
          <w:sz w:val="20"/>
          <w:szCs w:val="20"/>
        </w:rPr>
        <w:t>800 million</w:t>
      </w:r>
    </w:p>
    <w:p w:rsidR="00B970F8" w:rsidRPr="009E4419" w:rsidRDefault="001F4CD5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Investment in </w:t>
      </w:r>
      <w:r w:rsidR="00B970F8" w:rsidRPr="009E4419">
        <w:rPr>
          <w:rFonts w:ascii="Arial" w:hAnsi="Arial" w:cs="Arial"/>
          <w:sz w:val="20"/>
          <w:szCs w:val="20"/>
        </w:rPr>
        <w:t xml:space="preserve">equipment </w:t>
      </w:r>
      <w:r w:rsidRPr="009E4419">
        <w:rPr>
          <w:rFonts w:ascii="Arial" w:hAnsi="Arial" w:cs="Arial"/>
          <w:sz w:val="20"/>
          <w:szCs w:val="20"/>
        </w:rPr>
        <w:t xml:space="preserve">of the whole </w:t>
      </w:r>
      <w:r w:rsidR="00B970F8" w:rsidRPr="009E4419">
        <w:rPr>
          <w:rFonts w:ascii="Arial" w:hAnsi="Arial" w:cs="Arial"/>
          <w:sz w:val="20"/>
          <w:szCs w:val="20"/>
        </w:rPr>
        <w:t xml:space="preserve">company: </w:t>
      </w:r>
      <w:r w:rsidRPr="009E4419">
        <w:rPr>
          <w:rFonts w:ascii="Arial" w:hAnsi="Arial" w:cs="Arial"/>
          <w:sz w:val="20"/>
          <w:szCs w:val="20"/>
        </w:rPr>
        <w:t xml:space="preserve">VND </w:t>
      </w:r>
      <w:r w:rsidR="00B970F8" w:rsidRPr="009E4419">
        <w:rPr>
          <w:rFonts w:ascii="Arial" w:hAnsi="Arial" w:cs="Arial"/>
          <w:sz w:val="20"/>
          <w:szCs w:val="20"/>
        </w:rPr>
        <w:t>300 million</w:t>
      </w:r>
    </w:p>
    <w:p w:rsidR="00B970F8" w:rsidRPr="009E4419" w:rsidRDefault="001F4CD5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+ Investment in repairing</w:t>
      </w:r>
      <w:r w:rsidR="00B970F8" w:rsidRPr="009E4419">
        <w:rPr>
          <w:rFonts w:ascii="Arial" w:hAnsi="Arial" w:cs="Arial"/>
          <w:sz w:val="20"/>
          <w:szCs w:val="20"/>
        </w:rPr>
        <w:t xml:space="preserve"> workshop and</w:t>
      </w:r>
      <w:r w:rsidR="00412228" w:rsidRPr="009E4419">
        <w:rPr>
          <w:rFonts w:ascii="Arial" w:hAnsi="Arial" w:cs="Arial"/>
          <w:sz w:val="20"/>
          <w:szCs w:val="20"/>
        </w:rPr>
        <w:t xml:space="preserve"> warehouse at Van Long Hotel: VND 3.</w:t>
      </w:r>
      <w:r w:rsidR="00B970F8" w:rsidRPr="009E4419">
        <w:rPr>
          <w:rFonts w:ascii="Arial" w:hAnsi="Arial" w:cs="Arial"/>
          <w:sz w:val="20"/>
          <w:szCs w:val="20"/>
        </w:rPr>
        <w:t>870 million</w:t>
      </w:r>
    </w:p>
    <w:p w:rsidR="00B970F8" w:rsidRPr="009E4419" w:rsidRDefault="00DB2211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b/>
          <w:sz w:val="20"/>
          <w:szCs w:val="20"/>
        </w:rPr>
        <w:t>2. Approve the original report of 11/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BC-VTTC-HĐQT </w:t>
      </w:r>
      <w:r w:rsidRPr="009E4419">
        <w:rPr>
          <w:rFonts w:ascii="Arial" w:hAnsi="Arial" w:cs="Arial"/>
          <w:b/>
          <w:sz w:val="20"/>
          <w:szCs w:val="20"/>
        </w:rPr>
        <w:t xml:space="preserve">of 17 March, </w:t>
      </w:r>
      <w:r w:rsidR="00B970F8" w:rsidRPr="009E4419">
        <w:rPr>
          <w:rFonts w:ascii="Arial" w:hAnsi="Arial" w:cs="Arial"/>
          <w:b/>
          <w:sz w:val="20"/>
          <w:szCs w:val="20"/>
        </w:rPr>
        <w:t>2017 on the results of operation of the Board of Directors in 2016 and the directi</w:t>
      </w:r>
      <w:r w:rsidRPr="009E4419">
        <w:rPr>
          <w:rFonts w:ascii="Arial" w:hAnsi="Arial" w:cs="Arial"/>
          <w:b/>
          <w:sz w:val="20"/>
          <w:szCs w:val="20"/>
        </w:rPr>
        <w:t>on of operation in 2017 No.11/BC-VTTC-HĐQT of 17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March</w:t>
      </w:r>
      <w:r w:rsidRPr="009E4419">
        <w:rPr>
          <w:rFonts w:ascii="Arial" w:hAnsi="Arial" w:cs="Arial"/>
          <w:b/>
          <w:sz w:val="20"/>
          <w:szCs w:val="20"/>
        </w:rPr>
        <w:t>,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2017</w:t>
      </w:r>
      <w:r w:rsidR="00B970F8" w:rsidRPr="009E4419">
        <w:rPr>
          <w:rFonts w:ascii="Arial" w:hAnsi="Arial" w:cs="Arial"/>
          <w:sz w:val="20"/>
          <w:szCs w:val="20"/>
        </w:rPr>
        <w:t xml:space="preserve"> </w:t>
      </w:r>
      <w:r w:rsidR="00B970F8" w:rsidRPr="009E4419">
        <w:rPr>
          <w:rFonts w:ascii="Arial" w:hAnsi="Arial" w:cs="Arial"/>
          <w:i/>
          <w:sz w:val="20"/>
          <w:szCs w:val="20"/>
        </w:rPr>
        <w:t>(with attached report)</w:t>
      </w:r>
    </w:p>
    <w:p w:rsidR="00B970F8" w:rsidRPr="009E4419" w:rsidRDefault="00E23AB4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b/>
          <w:sz w:val="20"/>
          <w:szCs w:val="20"/>
        </w:rPr>
        <w:t>3. Approve the content of report No.11/</w:t>
      </w:r>
      <w:r w:rsidR="00B970F8" w:rsidRPr="009E4419">
        <w:rPr>
          <w:rFonts w:ascii="Arial" w:hAnsi="Arial" w:cs="Arial"/>
          <w:b/>
          <w:sz w:val="20"/>
          <w:szCs w:val="20"/>
        </w:rPr>
        <w:t>BC-VTTC-BKS on appraising financial reports of the comp</w:t>
      </w:r>
      <w:r w:rsidRPr="009E4419">
        <w:rPr>
          <w:rFonts w:ascii="Arial" w:hAnsi="Arial" w:cs="Arial"/>
          <w:b/>
          <w:sz w:val="20"/>
          <w:szCs w:val="20"/>
        </w:rPr>
        <w:t xml:space="preserve">any in 2016 and report No.02/BC-VTTC-BKS </w:t>
      </w:r>
      <w:r w:rsidR="0036222B">
        <w:rPr>
          <w:rFonts w:ascii="Arial" w:hAnsi="Arial" w:cs="Arial"/>
          <w:b/>
          <w:sz w:val="20"/>
          <w:szCs w:val="20"/>
        </w:rPr>
        <w:t>of</w:t>
      </w:r>
      <w:r w:rsidRPr="009E4419">
        <w:rPr>
          <w:rFonts w:ascii="Arial" w:hAnsi="Arial" w:cs="Arial"/>
          <w:b/>
          <w:sz w:val="20"/>
          <w:szCs w:val="20"/>
        </w:rPr>
        <w:t xml:space="preserve"> 16 March, </w:t>
      </w:r>
      <w:r w:rsidR="00B970F8" w:rsidRPr="009E4419">
        <w:rPr>
          <w:rFonts w:ascii="Arial" w:hAnsi="Arial" w:cs="Arial"/>
          <w:b/>
          <w:sz w:val="20"/>
          <w:szCs w:val="20"/>
        </w:rPr>
        <w:t>2017 on the act</w:t>
      </w:r>
      <w:r w:rsidRPr="009E4419">
        <w:rPr>
          <w:rFonts w:ascii="Arial" w:hAnsi="Arial" w:cs="Arial"/>
          <w:b/>
          <w:sz w:val="20"/>
          <w:szCs w:val="20"/>
        </w:rPr>
        <w:t>ivities of the B</w:t>
      </w:r>
      <w:r w:rsidR="00B970F8" w:rsidRPr="009E4419">
        <w:rPr>
          <w:rFonts w:ascii="Arial" w:hAnsi="Arial" w:cs="Arial"/>
          <w:b/>
          <w:sz w:val="20"/>
          <w:szCs w:val="20"/>
        </w:rPr>
        <w:t>oard</w:t>
      </w:r>
      <w:r w:rsidRPr="009E4419">
        <w:rPr>
          <w:rFonts w:ascii="Arial" w:hAnsi="Arial" w:cs="Arial"/>
          <w:b/>
          <w:sz w:val="20"/>
          <w:szCs w:val="20"/>
        </w:rPr>
        <w:t xml:space="preserve"> of Supervisors and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results of management activities of the Board of Directors </w:t>
      </w:r>
      <w:r w:rsidRPr="009E4419">
        <w:rPr>
          <w:rFonts w:ascii="Arial" w:hAnsi="Arial" w:cs="Arial"/>
          <w:b/>
          <w:sz w:val="20"/>
          <w:szCs w:val="20"/>
        </w:rPr>
        <w:t>– Board of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Management of the company</w:t>
      </w:r>
      <w:r w:rsidR="00B970F8" w:rsidRPr="009E4419">
        <w:rPr>
          <w:rFonts w:ascii="Arial" w:hAnsi="Arial" w:cs="Arial"/>
          <w:i/>
          <w:sz w:val="20"/>
          <w:szCs w:val="20"/>
        </w:rPr>
        <w:t xml:space="preserve"> (with attached report)</w:t>
      </w:r>
    </w:p>
    <w:p w:rsidR="00B970F8" w:rsidRPr="009E4419" w:rsidRDefault="000C1ACC" w:rsidP="007B430B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E4419">
        <w:rPr>
          <w:rFonts w:ascii="Arial" w:hAnsi="Arial" w:cs="Arial"/>
          <w:b/>
          <w:sz w:val="20"/>
          <w:szCs w:val="20"/>
        </w:rPr>
        <w:t>4. Approve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the selection of </w:t>
      </w:r>
      <w:r w:rsidRPr="009E4419">
        <w:rPr>
          <w:rFonts w:ascii="Arial" w:hAnsi="Arial" w:cs="Arial"/>
          <w:b/>
          <w:sz w:val="20"/>
          <w:szCs w:val="20"/>
        </w:rPr>
        <w:t xml:space="preserve">BDO 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auditing company to perform the function of auditing financial report of 2017 as proposed by the company's </w:t>
      </w:r>
      <w:r w:rsidRPr="009E4419">
        <w:rPr>
          <w:rFonts w:ascii="Arial" w:hAnsi="Arial" w:cs="Arial"/>
          <w:b/>
          <w:sz w:val="20"/>
          <w:szCs w:val="20"/>
        </w:rPr>
        <w:t>B</w:t>
      </w:r>
      <w:r w:rsidR="00B970F8" w:rsidRPr="009E4419">
        <w:rPr>
          <w:rFonts w:ascii="Arial" w:hAnsi="Arial" w:cs="Arial"/>
          <w:b/>
          <w:sz w:val="20"/>
          <w:szCs w:val="20"/>
        </w:rPr>
        <w:t>oard</w:t>
      </w:r>
      <w:r w:rsidRPr="009E4419">
        <w:rPr>
          <w:rFonts w:ascii="Arial" w:hAnsi="Arial" w:cs="Arial"/>
          <w:b/>
          <w:sz w:val="20"/>
          <w:szCs w:val="20"/>
        </w:rPr>
        <w:t xml:space="preserve"> of Supervisors in Report No.03/TTr-VTTC-BKS of 16 March, 2017.</w:t>
      </w:r>
    </w:p>
    <w:p w:rsidR="00B970F8" w:rsidRPr="009E4419" w:rsidRDefault="0036222B" w:rsidP="007B430B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Approve 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allowances </w:t>
      </w:r>
      <w:r w:rsidRPr="009E4419">
        <w:rPr>
          <w:rFonts w:ascii="Arial" w:hAnsi="Arial" w:cs="Arial"/>
          <w:b/>
          <w:sz w:val="20"/>
          <w:szCs w:val="20"/>
        </w:rPr>
        <w:t xml:space="preserve">payment 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for </w:t>
      </w:r>
      <w:r w:rsidR="00D36F6A" w:rsidRPr="009E4419">
        <w:rPr>
          <w:rFonts w:ascii="Arial" w:hAnsi="Arial" w:cs="Arial"/>
          <w:b/>
          <w:sz w:val="20"/>
          <w:szCs w:val="20"/>
        </w:rPr>
        <w:t xml:space="preserve">Board of Directors, Board of Supervisors and Secretary 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and the </w:t>
      </w:r>
      <w:r w:rsidR="00D36F6A" w:rsidRPr="009E4419">
        <w:rPr>
          <w:rFonts w:ascii="Arial" w:hAnsi="Arial" w:cs="Arial"/>
          <w:b/>
          <w:sz w:val="20"/>
          <w:szCs w:val="20"/>
        </w:rPr>
        <w:t xml:space="preserve">payment </w:t>
      </w:r>
      <w:r w:rsidR="00B970F8" w:rsidRPr="009E4419">
        <w:rPr>
          <w:rFonts w:ascii="Arial" w:hAnsi="Arial" w:cs="Arial"/>
          <w:b/>
          <w:sz w:val="20"/>
          <w:szCs w:val="20"/>
        </w:rPr>
        <w:t>plan for</w:t>
      </w:r>
      <w:r w:rsidR="00D36F6A" w:rsidRPr="009E4419">
        <w:rPr>
          <w:rFonts w:ascii="Arial" w:hAnsi="Arial" w:cs="Arial"/>
          <w:b/>
          <w:sz w:val="20"/>
          <w:szCs w:val="20"/>
        </w:rPr>
        <w:t xml:space="preserve"> 2017 as detailed in Report No.14/TTr-VTTCHDQT of 17 March 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2017 of the </w:t>
      </w:r>
      <w:r w:rsidR="00D36F6A" w:rsidRPr="009E4419">
        <w:rPr>
          <w:rFonts w:ascii="Arial" w:hAnsi="Arial" w:cs="Arial"/>
          <w:b/>
          <w:sz w:val="20"/>
          <w:szCs w:val="20"/>
        </w:rPr>
        <w:t>Board of Directors.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5.1. The total rem</w:t>
      </w:r>
      <w:r w:rsidR="00387568" w:rsidRPr="009E4419">
        <w:rPr>
          <w:rFonts w:ascii="Arial" w:hAnsi="Arial" w:cs="Arial"/>
          <w:sz w:val="20"/>
          <w:szCs w:val="20"/>
        </w:rPr>
        <w:t>uneration (allowance) in 2016 was</w:t>
      </w:r>
      <w:r w:rsidRPr="009E4419">
        <w:rPr>
          <w:rFonts w:ascii="Arial" w:hAnsi="Arial" w:cs="Arial"/>
          <w:sz w:val="20"/>
          <w:szCs w:val="20"/>
        </w:rPr>
        <w:t xml:space="preserve"> </w:t>
      </w:r>
      <w:r w:rsidR="00AF4A13">
        <w:rPr>
          <w:rFonts w:ascii="Arial" w:hAnsi="Arial" w:cs="Arial"/>
          <w:sz w:val="20"/>
          <w:szCs w:val="20"/>
        </w:rPr>
        <w:t xml:space="preserve">VND </w:t>
      </w:r>
      <w:r w:rsidRPr="009E4419">
        <w:rPr>
          <w:rFonts w:ascii="Arial" w:hAnsi="Arial" w:cs="Arial"/>
          <w:sz w:val="20"/>
          <w:szCs w:val="20"/>
        </w:rPr>
        <w:t>501.6 million.</w:t>
      </w:r>
    </w:p>
    <w:p w:rsidR="00B105B7" w:rsidRPr="009E4419" w:rsidRDefault="00B970F8" w:rsidP="003512B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lastRenderedPageBreak/>
        <w:t>5.2. The total remuneration paid to the Board of Direc</w:t>
      </w:r>
      <w:r w:rsidR="00AF4A13">
        <w:rPr>
          <w:rFonts w:ascii="Arial" w:hAnsi="Arial" w:cs="Arial"/>
          <w:sz w:val="20"/>
          <w:szCs w:val="20"/>
        </w:rPr>
        <w:t xml:space="preserve">tors, Board of Supervisors </w:t>
      </w:r>
      <w:r w:rsidR="0036222B">
        <w:rPr>
          <w:rFonts w:ascii="Arial" w:hAnsi="Arial" w:cs="Arial"/>
          <w:sz w:val="20"/>
          <w:szCs w:val="20"/>
        </w:rPr>
        <w:t xml:space="preserve">and  </w:t>
      </w:r>
      <w:r w:rsidRPr="009E4419">
        <w:rPr>
          <w:rFonts w:ascii="Arial" w:hAnsi="Arial" w:cs="Arial"/>
          <w:sz w:val="20"/>
          <w:szCs w:val="20"/>
        </w:rPr>
        <w:t>Secretary in 2017 is calculated on the basis of the Company's business efficiency (</w:t>
      </w:r>
      <w:r w:rsidR="00970518" w:rsidRPr="009E4419">
        <w:rPr>
          <w:rFonts w:ascii="Arial" w:hAnsi="Arial" w:cs="Arial"/>
          <w:sz w:val="20"/>
          <w:szCs w:val="20"/>
        </w:rPr>
        <w:t xml:space="preserve">profit after </w:t>
      </w:r>
      <w:r w:rsidRPr="009E4419">
        <w:rPr>
          <w:rFonts w:ascii="Arial" w:hAnsi="Arial" w:cs="Arial"/>
          <w:sz w:val="20"/>
          <w:szCs w:val="20"/>
        </w:rPr>
        <w:t xml:space="preserve">tax) and the percentage of profit </w:t>
      </w:r>
      <w:r w:rsidR="00970518" w:rsidRPr="009E4419">
        <w:rPr>
          <w:rFonts w:ascii="Arial" w:hAnsi="Arial" w:cs="Arial"/>
          <w:sz w:val="20"/>
          <w:szCs w:val="20"/>
        </w:rPr>
        <w:t>in</w:t>
      </w:r>
      <w:r w:rsidRPr="009E4419">
        <w:rPr>
          <w:rFonts w:ascii="Arial" w:hAnsi="Arial" w:cs="Arial"/>
          <w:sz w:val="20"/>
          <w:szCs w:val="20"/>
        </w:rPr>
        <w:t xml:space="preserve"> 2017 compared</w:t>
      </w:r>
      <w:r w:rsidR="00970518" w:rsidRPr="009E4419">
        <w:rPr>
          <w:rFonts w:ascii="Arial" w:hAnsi="Arial" w:cs="Arial"/>
          <w:sz w:val="20"/>
          <w:szCs w:val="20"/>
        </w:rPr>
        <w:t xml:space="preserve"> to profit made in the </w:t>
      </w:r>
      <w:r w:rsidR="000A134E" w:rsidRPr="009E4419">
        <w:rPr>
          <w:rFonts w:ascii="Arial" w:hAnsi="Arial" w:cs="Arial"/>
          <w:sz w:val="20"/>
          <w:szCs w:val="20"/>
        </w:rPr>
        <w:t xml:space="preserve">adjacent </w:t>
      </w:r>
      <w:r w:rsidR="00970518" w:rsidRPr="009E4419">
        <w:rPr>
          <w:rFonts w:ascii="Arial" w:hAnsi="Arial" w:cs="Arial"/>
          <w:sz w:val="20"/>
          <w:szCs w:val="20"/>
        </w:rPr>
        <w:t>previous</w:t>
      </w:r>
      <w:r w:rsidRPr="009E4419">
        <w:rPr>
          <w:rFonts w:ascii="Arial" w:hAnsi="Arial" w:cs="Arial"/>
          <w:sz w:val="20"/>
          <w:szCs w:val="20"/>
        </w:rPr>
        <w:t xml:space="preserve"> year (2016). The formula is calculated as follows:</w:t>
      </w:r>
    </w:p>
    <w:p w:rsidR="00B970F8" w:rsidRPr="00325350" w:rsidRDefault="009D0D03" w:rsidP="00325350">
      <w:pPr>
        <w:spacing w:before="60" w:after="60"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25350">
        <w:rPr>
          <w:rFonts w:ascii="Arial" w:hAnsi="Arial" w:cs="Arial"/>
          <w:b/>
          <w:sz w:val="20"/>
          <w:szCs w:val="20"/>
        </w:rPr>
        <w:t>Q</w:t>
      </w:r>
      <w:r w:rsidRPr="00325350">
        <w:rPr>
          <w:rFonts w:ascii="Arial" w:hAnsi="Arial" w:cs="Arial"/>
          <w:b/>
          <w:sz w:val="20"/>
          <w:szCs w:val="20"/>
          <w:vertAlign w:val="subscript"/>
        </w:rPr>
        <w:t>pc</w:t>
      </w:r>
      <w:r w:rsidRPr="00325350">
        <w:rPr>
          <w:rFonts w:ascii="Arial" w:hAnsi="Arial" w:cs="Arial"/>
          <w:b/>
          <w:sz w:val="20"/>
          <w:szCs w:val="20"/>
        </w:rPr>
        <w:t xml:space="preserve"> = P</w:t>
      </w:r>
      <w:r w:rsidRPr="00325350">
        <w:rPr>
          <w:rFonts w:ascii="Arial" w:hAnsi="Arial" w:cs="Arial"/>
          <w:b/>
          <w:sz w:val="20"/>
          <w:szCs w:val="20"/>
          <w:vertAlign w:val="subscript"/>
        </w:rPr>
        <w:t>st</w:t>
      </w:r>
      <w:r w:rsidRPr="00325350">
        <w:rPr>
          <w:rFonts w:ascii="Arial" w:hAnsi="Arial" w:cs="Arial"/>
          <w:b/>
          <w:sz w:val="20"/>
          <w:szCs w:val="20"/>
        </w:rPr>
        <w:t>x10%x(P</w:t>
      </w:r>
      <w:r w:rsidRPr="00325350">
        <w:rPr>
          <w:rFonts w:ascii="Arial" w:hAnsi="Arial" w:cs="Arial"/>
          <w:b/>
          <w:sz w:val="20"/>
          <w:szCs w:val="20"/>
          <w:vertAlign w:val="subscript"/>
        </w:rPr>
        <w:t>th</w:t>
      </w:r>
      <w:r w:rsidR="003F5D84" w:rsidRPr="00325350">
        <w:rPr>
          <w:rFonts w:ascii="Arial" w:hAnsi="Arial" w:cs="Arial"/>
          <w:b/>
          <w:sz w:val="20"/>
          <w:szCs w:val="20"/>
        </w:rPr>
        <w:t>/</w:t>
      </w:r>
      <w:r w:rsidR="00B970F8" w:rsidRPr="00325350">
        <w:rPr>
          <w:rFonts w:ascii="Arial" w:hAnsi="Arial" w:cs="Arial"/>
          <w:b/>
          <w:sz w:val="20"/>
          <w:szCs w:val="20"/>
        </w:rPr>
        <w:t>P</w:t>
      </w:r>
      <w:r w:rsidRPr="00325350">
        <w:rPr>
          <w:rFonts w:ascii="Arial" w:hAnsi="Arial" w:cs="Arial"/>
          <w:b/>
          <w:sz w:val="20"/>
          <w:szCs w:val="20"/>
          <w:vertAlign w:val="subscript"/>
        </w:rPr>
        <w:t>thnt</w:t>
      </w:r>
      <w:r w:rsidR="00B970F8" w:rsidRPr="00325350">
        <w:rPr>
          <w:rFonts w:ascii="Arial" w:hAnsi="Arial" w:cs="Arial"/>
          <w:b/>
          <w:sz w:val="20"/>
          <w:szCs w:val="20"/>
        </w:rPr>
        <w:t>)</w:t>
      </w:r>
    </w:p>
    <w:p w:rsidR="00B970F8" w:rsidRPr="009E4419" w:rsidRDefault="00CB7021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- </w:t>
      </w:r>
      <w:r w:rsidR="00A50292" w:rsidRPr="009E4419">
        <w:rPr>
          <w:rFonts w:ascii="Arial" w:hAnsi="Arial" w:cs="Arial"/>
          <w:sz w:val="20"/>
          <w:szCs w:val="20"/>
        </w:rPr>
        <w:t>Of which</w:t>
      </w:r>
      <w:r w:rsidR="00B970F8" w:rsidRPr="009E4419">
        <w:rPr>
          <w:rFonts w:ascii="Arial" w:hAnsi="Arial" w:cs="Arial"/>
          <w:sz w:val="20"/>
          <w:szCs w:val="20"/>
        </w:rPr>
        <w:t>:</w:t>
      </w:r>
    </w:p>
    <w:p w:rsidR="00B970F8" w:rsidRPr="009E4419" w:rsidRDefault="009D0D03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</w:t>
      </w:r>
      <w:r w:rsidRPr="00325350">
        <w:rPr>
          <w:rFonts w:ascii="Arial" w:hAnsi="Arial" w:cs="Arial"/>
          <w:b/>
          <w:sz w:val="20"/>
          <w:szCs w:val="20"/>
        </w:rPr>
        <w:t>Q</w:t>
      </w:r>
      <w:r w:rsidRPr="00325350">
        <w:rPr>
          <w:rFonts w:ascii="Arial" w:hAnsi="Arial" w:cs="Arial"/>
          <w:b/>
          <w:sz w:val="20"/>
          <w:szCs w:val="20"/>
          <w:vertAlign w:val="subscript"/>
        </w:rPr>
        <w:t>pc</w:t>
      </w:r>
      <w:r w:rsidR="00B970F8" w:rsidRPr="009E4419">
        <w:rPr>
          <w:rFonts w:ascii="Arial" w:hAnsi="Arial" w:cs="Arial"/>
          <w:sz w:val="20"/>
          <w:szCs w:val="20"/>
        </w:rPr>
        <w:t xml:space="preserve">: Total remuneration fund of </w:t>
      </w:r>
      <w:r w:rsidR="00A50292" w:rsidRPr="009E4419">
        <w:rPr>
          <w:rFonts w:ascii="Arial" w:hAnsi="Arial" w:cs="Arial"/>
          <w:sz w:val="20"/>
          <w:szCs w:val="20"/>
        </w:rPr>
        <w:t xml:space="preserve">Board of Directors, Board of Supervisors and Secretary </w:t>
      </w:r>
      <w:r w:rsidR="00B970F8" w:rsidRPr="009E4419">
        <w:rPr>
          <w:rFonts w:ascii="Arial" w:hAnsi="Arial" w:cs="Arial"/>
          <w:sz w:val="20"/>
          <w:szCs w:val="20"/>
        </w:rPr>
        <w:t>(2017)</w:t>
      </w:r>
    </w:p>
    <w:p w:rsidR="00B970F8" w:rsidRPr="009E4419" w:rsidRDefault="009D0D03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</w:t>
      </w:r>
      <w:r w:rsidRPr="00325350">
        <w:rPr>
          <w:rFonts w:ascii="Arial" w:hAnsi="Arial" w:cs="Arial"/>
          <w:b/>
          <w:sz w:val="20"/>
          <w:szCs w:val="20"/>
        </w:rPr>
        <w:t>P</w:t>
      </w:r>
      <w:r w:rsidRPr="00325350">
        <w:rPr>
          <w:rFonts w:ascii="Arial" w:hAnsi="Arial" w:cs="Arial"/>
          <w:b/>
          <w:sz w:val="20"/>
          <w:szCs w:val="20"/>
          <w:vertAlign w:val="subscript"/>
        </w:rPr>
        <w:t>st</w:t>
      </w:r>
      <w:r w:rsidR="0036222B">
        <w:rPr>
          <w:rFonts w:ascii="Arial" w:hAnsi="Arial" w:cs="Arial"/>
          <w:sz w:val="20"/>
          <w:szCs w:val="20"/>
        </w:rPr>
        <w:t>: P</w:t>
      </w:r>
      <w:r w:rsidR="003F5D84" w:rsidRPr="009E4419">
        <w:rPr>
          <w:rFonts w:ascii="Arial" w:hAnsi="Arial" w:cs="Arial"/>
          <w:sz w:val="20"/>
          <w:szCs w:val="20"/>
        </w:rPr>
        <w:t>rofit after tax (= P</w:t>
      </w:r>
      <w:r w:rsidR="003F5D84" w:rsidRPr="009E4419">
        <w:rPr>
          <w:rFonts w:ascii="Arial" w:hAnsi="Arial" w:cs="Arial"/>
          <w:sz w:val="20"/>
          <w:szCs w:val="20"/>
          <w:vertAlign w:val="subscript"/>
        </w:rPr>
        <w:t>th</w:t>
      </w:r>
      <w:r w:rsidR="00A50292" w:rsidRPr="009E4419">
        <w:rPr>
          <w:rFonts w:ascii="Arial" w:hAnsi="Arial" w:cs="Arial"/>
          <w:sz w:val="20"/>
          <w:szCs w:val="20"/>
        </w:rPr>
        <w:t xml:space="preserve"> – Income tax </w:t>
      </w:r>
      <w:r w:rsidR="00B970F8" w:rsidRPr="009E4419">
        <w:rPr>
          <w:rFonts w:ascii="Arial" w:hAnsi="Arial" w:cs="Arial"/>
          <w:sz w:val="20"/>
          <w:szCs w:val="20"/>
        </w:rPr>
        <w:t>)</w:t>
      </w:r>
    </w:p>
    <w:p w:rsidR="00B970F8" w:rsidRPr="009E4419" w:rsidRDefault="009D0D03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</w:t>
      </w:r>
      <w:r w:rsidRPr="00325350">
        <w:rPr>
          <w:rFonts w:ascii="Arial" w:hAnsi="Arial" w:cs="Arial"/>
          <w:b/>
          <w:sz w:val="20"/>
          <w:szCs w:val="20"/>
        </w:rPr>
        <w:t>P</w:t>
      </w:r>
      <w:r w:rsidRPr="00325350">
        <w:rPr>
          <w:rFonts w:ascii="Arial" w:hAnsi="Arial" w:cs="Arial"/>
          <w:b/>
          <w:sz w:val="20"/>
          <w:szCs w:val="20"/>
          <w:vertAlign w:val="subscript"/>
        </w:rPr>
        <w:t>th</w:t>
      </w:r>
      <w:r w:rsidR="00B970F8" w:rsidRPr="009E4419">
        <w:rPr>
          <w:rFonts w:ascii="Arial" w:hAnsi="Arial" w:cs="Arial"/>
          <w:sz w:val="20"/>
          <w:szCs w:val="20"/>
        </w:rPr>
        <w:t>: Profit made in plan year</w:t>
      </w:r>
    </w:p>
    <w:p w:rsidR="00B970F8" w:rsidRPr="009E4419" w:rsidRDefault="003F5D84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</w:t>
      </w:r>
      <w:r w:rsidRPr="00325350">
        <w:rPr>
          <w:rFonts w:ascii="Arial" w:hAnsi="Arial" w:cs="Arial"/>
          <w:b/>
          <w:sz w:val="20"/>
          <w:szCs w:val="20"/>
        </w:rPr>
        <w:t>P</w:t>
      </w:r>
      <w:r w:rsidRPr="00325350">
        <w:rPr>
          <w:rFonts w:ascii="Arial" w:hAnsi="Arial" w:cs="Arial"/>
          <w:b/>
          <w:sz w:val="20"/>
          <w:szCs w:val="20"/>
          <w:vertAlign w:val="subscript"/>
        </w:rPr>
        <w:t>thnt</w:t>
      </w:r>
      <w:r w:rsidR="00B970F8" w:rsidRPr="009E4419">
        <w:rPr>
          <w:rFonts w:ascii="Arial" w:hAnsi="Arial" w:cs="Arial"/>
          <w:sz w:val="20"/>
          <w:szCs w:val="20"/>
        </w:rPr>
        <w:t xml:space="preserve">: </w:t>
      </w:r>
      <w:r w:rsidR="00A50292" w:rsidRPr="009E4419">
        <w:rPr>
          <w:rFonts w:ascii="Arial" w:hAnsi="Arial" w:cs="Arial"/>
          <w:sz w:val="20"/>
          <w:szCs w:val="20"/>
        </w:rPr>
        <w:t>Profit made in</w:t>
      </w:r>
      <w:r w:rsidR="004B0017" w:rsidRPr="009E4419">
        <w:rPr>
          <w:rFonts w:ascii="Arial" w:hAnsi="Arial" w:cs="Arial"/>
          <w:sz w:val="20"/>
          <w:szCs w:val="20"/>
        </w:rPr>
        <w:t xml:space="preserve"> the </w:t>
      </w:r>
      <w:r w:rsidR="000A134E" w:rsidRPr="009E4419">
        <w:rPr>
          <w:rFonts w:ascii="Arial" w:hAnsi="Arial" w:cs="Arial"/>
          <w:sz w:val="20"/>
          <w:szCs w:val="20"/>
        </w:rPr>
        <w:t xml:space="preserve">adjacent </w:t>
      </w:r>
      <w:r w:rsidR="004B0017" w:rsidRPr="009E4419">
        <w:rPr>
          <w:rFonts w:ascii="Arial" w:hAnsi="Arial" w:cs="Arial"/>
          <w:sz w:val="20"/>
          <w:szCs w:val="20"/>
        </w:rPr>
        <w:t>previous year.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- </w:t>
      </w:r>
      <w:r w:rsidR="00924A2A" w:rsidRPr="009E4419">
        <w:rPr>
          <w:rFonts w:ascii="Arial" w:hAnsi="Arial" w:cs="Arial"/>
          <w:sz w:val="20"/>
          <w:szCs w:val="20"/>
        </w:rPr>
        <w:t>Each month, the company pays</w:t>
      </w:r>
      <w:r w:rsidRPr="009E4419">
        <w:rPr>
          <w:rFonts w:ascii="Arial" w:hAnsi="Arial" w:cs="Arial"/>
          <w:sz w:val="20"/>
          <w:szCs w:val="20"/>
        </w:rPr>
        <w:t xml:space="preserve"> individual </w:t>
      </w:r>
      <w:r w:rsidR="00924A2A" w:rsidRPr="009E4419">
        <w:rPr>
          <w:rFonts w:ascii="Arial" w:hAnsi="Arial" w:cs="Arial"/>
          <w:sz w:val="20"/>
          <w:szCs w:val="20"/>
        </w:rPr>
        <w:t>salary in advance</w:t>
      </w:r>
      <w:r w:rsidRPr="009E4419">
        <w:rPr>
          <w:rFonts w:ascii="Arial" w:hAnsi="Arial" w:cs="Arial"/>
          <w:sz w:val="20"/>
          <w:szCs w:val="20"/>
        </w:rPr>
        <w:t xml:space="preserve"> ac</w:t>
      </w:r>
      <w:r w:rsidR="00924A2A" w:rsidRPr="009E4419">
        <w:rPr>
          <w:rFonts w:ascii="Arial" w:hAnsi="Arial" w:cs="Arial"/>
          <w:sz w:val="20"/>
          <w:szCs w:val="20"/>
        </w:rPr>
        <w:t xml:space="preserve">cording to the same level as </w:t>
      </w:r>
      <w:r w:rsidRPr="009E4419">
        <w:rPr>
          <w:rFonts w:ascii="Arial" w:hAnsi="Arial" w:cs="Arial"/>
          <w:sz w:val="20"/>
          <w:szCs w:val="20"/>
        </w:rPr>
        <w:t>2016. At the end of the year, based on the results of production and business, the Company calcul</w:t>
      </w:r>
      <w:r w:rsidR="003F5D84" w:rsidRPr="009E4419">
        <w:rPr>
          <w:rFonts w:ascii="Arial" w:hAnsi="Arial" w:cs="Arial"/>
          <w:sz w:val="20"/>
          <w:szCs w:val="20"/>
        </w:rPr>
        <w:t>ates the total remuneration</w:t>
      </w:r>
      <w:r w:rsidR="00924A2A" w:rsidRPr="009E4419">
        <w:rPr>
          <w:rFonts w:ascii="Arial" w:hAnsi="Arial" w:cs="Arial"/>
          <w:sz w:val="20"/>
          <w:szCs w:val="20"/>
        </w:rPr>
        <w:t xml:space="preserve"> fund</w:t>
      </w:r>
      <w:r w:rsidR="003F5D84" w:rsidRPr="009E4419">
        <w:rPr>
          <w:rFonts w:ascii="Arial" w:hAnsi="Arial" w:cs="Arial"/>
          <w:sz w:val="20"/>
          <w:szCs w:val="20"/>
        </w:rPr>
        <w:t xml:space="preserve"> (Q</w:t>
      </w:r>
      <w:r w:rsidR="003F5D84" w:rsidRPr="009E4419">
        <w:rPr>
          <w:rFonts w:ascii="Arial" w:hAnsi="Arial" w:cs="Arial"/>
          <w:sz w:val="20"/>
          <w:szCs w:val="20"/>
          <w:vertAlign w:val="subscript"/>
        </w:rPr>
        <w:t>pc</w:t>
      </w:r>
      <w:r w:rsidRPr="009E4419">
        <w:rPr>
          <w:rFonts w:ascii="Arial" w:hAnsi="Arial" w:cs="Arial"/>
          <w:sz w:val="20"/>
          <w:szCs w:val="20"/>
        </w:rPr>
        <w:t xml:space="preserve">) </w:t>
      </w:r>
      <w:r w:rsidR="00924A2A" w:rsidRPr="009E4419">
        <w:rPr>
          <w:rFonts w:ascii="Arial" w:hAnsi="Arial" w:cs="Arial"/>
          <w:sz w:val="20"/>
          <w:szCs w:val="20"/>
        </w:rPr>
        <w:t>according to the above formula a</w:t>
      </w:r>
      <w:r w:rsidRPr="009E4419">
        <w:rPr>
          <w:rFonts w:ascii="Arial" w:hAnsi="Arial" w:cs="Arial"/>
          <w:sz w:val="20"/>
          <w:szCs w:val="20"/>
        </w:rPr>
        <w:t>nd settle</w:t>
      </w:r>
      <w:r w:rsidR="00924A2A" w:rsidRPr="009E4419">
        <w:rPr>
          <w:rFonts w:ascii="Arial" w:hAnsi="Arial" w:cs="Arial"/>
          <w:sz w:val="20"/>
          <w:szCs w:val="20"/>
        </w:rPr>
        <w:t>s</w:t>
      </w:r>
      <w:r w:rsidR="00F36313" w:rsidRPr="009E4419">
        <w:rPr>
          <w:rFonts w:ascii="Arial" w:hAnsi="Arial" w:cs="Arial"/>
          <w:sz w:val="20"/>
          <w:szCs w:val="20"/>
        </w:rPr>
        <w:t xml:space="preserve"> for each title</w:t>
      </w:r>
      <w:r w:rsidRPr="009E4419">
        <w:rPr>
          <w:rFonts w:ascii="Arial" w:hAnsi="Arial" w:cs="Arial"/>
          <w:sz w:val="20"/>
          <w:szCs w:val="20"/>
        </w:rPr>
        <w:t xml:space="preserve">, but at least the total remuneration for each </w:t>
      </w:r>
      <w:r w:rsidR="00F36313" w:rsidRPr="009E4419">
        <w:rPr>
          <w:rFonts w:ascii="Arial" w:hAnsi="Arial" w:cs="Arial"/>
          <w:sz w:val="20"/>
          <w:szCs w:val="20"/>
        </w:rPr>
        <w:t>title</w:t>
      </w:r>
      <w:r w:rsidRPr="009E4419">
        <w:rPr>
          <w:rFonts w:ascii="Arial" w:hAnsi="Arial" w:cs="Arial"/>
          <w:sz w:val="20"/>
          <w:szCs w:val="20"/>
        </w:rPr>
        <w:t xml:space="preserve"> is not less than the one paid for in 2016. In case the profit i</w:t>
      </w:r>
      <w:r w:rsidR="00924A2A" w:rsidRPr="009E4419">
        <w:rPr>
          <w:rFonts w:ascii="Arial" w:hAnsi="Arial" w:cs="Arial"/>
          <w:sz w:val="20"/>
          <w:szCs w:val="20"/>
        </w:rPr>
        <w:t>s less than the planned profit, the remuneration will be adjusted in accordance with respective rate</w:t>
      </w:r>
      <w:r w:rsidRPr="009E4419">
        <w:rPr>
          <w:rFonts w:ascii="Arial" w:hAnsi="Arial" w:cs="Arial"/>
          <w:sz w:val="20"/>
          <w:szCs w:val="20"/>
        </w:rPr>
        <w:t>.</w:t>
      </w:r>
    </w:p>
    <w:p w:rsidR="00B970F8" w:rsidRPr="009E4419" w:rsidRDefault="002A5B93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- R</w:t>
      </w:r>
      <w:r w:rsidR="00B970F8" w:rsidRPr="009E4419">
        <w:rPr>
          <w:rFonts w:ascii="Arial" w:hAnsi="Arial" w:cs="Arial"/>
          <w:sz w:val="20"/>
          <w:szCs w:val="20"/>
        </w:rPr>
        <w:t>emuneration</w:t>
      </w:r>
      <w:r w:rsidRPr="009E4419">
        <w:rPr>
          <w:rFonts w:ascii="Arial" w:hAnsi="Arial" w:cs="Arial"/>
          <w:sz w:val="20"/>
          <w:szCs w:val="20"/>
        </w:rPr>
        <w:t xml:space="preserve"> of 2017</w:t>
      </w:r>
      <w:r w:rsidR="00B970F8" w:rsidRPr="009E4419">
        <w:rPr>
          <w:rFonts w:ascii="Arial" w:hAnsi="Arial" w:cs="Arial"/>
          <w:sz w:val="20"/>
          <w:szCs w:val="20"/>
        </w:rPr>
        <w:t xml:space="preserve"> for </w:t>
      </w:r>
      <w:r w:rsidRPr="009E4419">
        <w:rPr>
          <w:rFonts w:ascii="Arial" w:hAnsi="Arial" w:cs="Arial"/>
          <w:sz w:val="20"/>
          <w:szCs w:val="20"/>
        </w:rPr>
        <w:t xml:space="preserve">each </w:t>
      </w:r>
      <w:r w:rsidR="00B970F8" w:rsidRPr="009E4419">
        <w:rPr>
          <w:rFonts w:ascii="Arial" w:hAnsi="Arial" w:cs="Arial"/>
          <w:sz w:val="20"/>
          <w:szCs w:val="20"/>
        </w:rPr>
        <w:t xml:space="preserve">individual in the </w:t>
      </w:r>
      <w:r w:rsidR="005D51E9" w:rsidRPr="009E4419">
        <w:rPr>
          <w:rFonts w:ascii="Arial" w:hAnsi="Arial" w:cs="Arial"/>
          <w:sz w:val="20"/>
          <w:szCs w:val="20"/>
        </w:rPr>
        <w:t xml:space="preserve">Board of Directors, Board of Supervisors and Secretary </w:t>
      </w:r>
      <w:r w:rsidR="00B970F8" w:rsidRPr="009E4419">
        <w:rPr>
          <w:rFonts w:ascii="Arial" w:hAnsi="Arial" w:cs="Arial"/>
          <w:sz w:val="20"/>
          <w:szCs w:val="20"/>
        </w:rPr>
        <w:t>shall be calculated according to the following formula:</w:t>
      </w:r>
    </w:p>
    <w:p w:rsidR="00784357" w:rsidRPr="00833562" w:rsidRDefault="00833562" w:rsidP="005D51E9">
      <w:pPr>
        <w:pStyle w:val="ListParagraph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Pi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Qpc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Hcti x 12 tháng</m:t>
                  </m:r>
                </m:e>
              </m:nary>
            </m:den>
          </m:f>
        </m:oMath>
      </m:oMathPara>
    </w:p>
    <w:p w:rsidR="00B970F8" w:rsidRPr="009E4419" w:rsidRDefault="003512BC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Of which: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</w:t>
      </w:r>
      <w:r w:rsidRPr="009E4419">
        <w:rPr>
          <w:rFonts w:ascii="Arial" w:hAnsi="Arial" w:cs="Arial"/>
          <w:b/>
          <w:sz w:val="20"/>
          <w:szCs w:val="20"/>
        </w:rPr>
        <w:t>P</w:t>
      </w:r>
      <w:r w:rsidR="003551E1" w:rsidRPr="009E4419">
        <w:rPr>
          <w:rFonts w:ascii="Arial" w:hAnsi="Arial" w:cs="Arial"/>
          <w:b/>
          <w:sz w:val="20"/>
          <w:szCs w:val="20"/>
          <w:vertAlign w:val="subscript"/>
        </w:rPr>
        <w:t>i</w:t>
      </w:r>
      <w:r w:rsidRPr="009E4419">
        <w:rPr>
          <w:rFonts w:ascii="Arial" w:hAnsi="Arial" w:cs="Arial"/>
          <w:sz w:val="20"/>
          <w:szCs w:val="20"/>
        </w:rPr>
        <w:t>: monthly salar</w:t>
      </w:r>
      <w:r w:rsidR="003551E1" w:rsidRPr="009E4419">
        <w:rPr>
          <w:rFonts w:ascii="Arial" w:hAnsi="Arial" w:cs="Arial"/>
          <w:sz w:val="20"/>
          <w:szCs w:val="20"/>
        </w:rPr>
        <w:t>y of each person (VND million/person/</w:t>
      </w:r>
      <w:r w:rsidRPr="009E4419">
        <w:rPr>
          <w:rFonts w:ascii="Arial" w:hAnsi="Arial" w:cs="Arial"/>
          <w:sz w:val="20"/>
          <w:szCs w:val="20"/>
        </w:rPr>
        <w:t>month)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</w:t>
      </w:r>
      <w:r w:rsidRPr="009E4419">
        <w:rPr>
          <w:rFonts w:ascii="Arial" w:hAnsi="Arial" w:cs="Arial"/>
          <w:b/>
          <w:sz w:val="20"/>
          <w:szCs w:val="20"/>
        </w:rPr>
        <w:t>Q</w:t>
      </w:r>
      <w:r w:rsidR="003551E1" w:rsidRPr="009E4419">
        <w:rPr>
          <w:rFonts w:ascii="Arial" w:hAnsi="Arial" w:cs="Arial"/>
          <w:b/>
          <w:sz w:val="20"/>
          <w:szCs w:val="20"/>
          <w:vertAlign w:val="subscript"/>
        </w:rPr>
        <w:t>pc</w:t>
      </w:r>
      <w:r w:rsidRPr="009E4419">
        <w:rPr>
          <w:rFonts w:ascii="Arial" w:hAnsi="Arial" w:cs="Arial"/>
          <w:sz w:val="20"/>
          <w:szCs w:val="20"/>
        </w:rPr>
        <w:t>: Total remuneration fund of</w:t>
      </w:r>
      <w:r w:rsidR="003551E1" w:rsidRPr="009E4419">
        <w:rPr>
          <w:rFonts w:ascii="Arial" w:hAnsi="Arial" w:cs="Arial"/>
          <w:sz w:val="20"/>
          <w:szCs w:val="20"/>
        </w:rPr>
        <w:t xml:space="preserve"> the Board of Directors, Board of Supervisors and Secretary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+ </w:t>
      </w:r>
      <w:r w:rsidRPr="009E4419">
        <w:rPr>
          <w:rFonts w:ascii="Arial" w:hAnsi="Arial" w:cs="Arial"/>
          <w:b/>
          <w:sz w:val="20"/>
          <w:szCs w:val="20"/>
        </w:rPr>
        <w:t>H</w:t>
      </w:r>
      <w:r w:rsidR="003551E1" w:rsidRPr="009E4419">
        <w:rPr>
          <w:rFonts w:ascii="Arial" w:hAnsi="Arial" w:cs="Arial"/>
          <w:b/>
          <w:sz w:val="20"/>
          <w:szCs w:val="20"/>
          <w:vertAlign w:val="subscript"/>
        </w:rPr>
        <w:t>cti</w:t>
      </w:r>
      <w:r w:rsidRPr="009E4419">
        <w:rPr>
          <w:rFonts w:ascii="Arial" w:hAnsi="Arial" w:cs="Arial"/>
          <w:sz w:val="20"/>
          <w:szCs w:val="20"/>
        </w:rPr>
        <w:t>: The remuneratio</w:t>
      </w:r>
      <w:r w:rsidR="003551E1" w:rsidRPr="009E4419">
        <w:rPr>
          <w:rFonts w:ascii="Arial" w:hAnsi="Arial" w:cs="Arial"/>
          <w:sz w:val="20"/>
          <w:szCs w:val="20"/>
        </w:rPr>
        <w:t xml:space="preserve">n coefficient for each title, </w:t>
      </w:r>
      <w:r w:rsidRPr="009E4419">
        <w:rPr>
          <w:rFonts w:ascii="Arial" w:hAnsi="Arial" w:cs="Arial"/>
          <w:sz w:val="20"/>
          <w:szCs w:val="20"/>
        </w:rPr>
        <w:t>as follows:</w:t>
      </w:r>
    </w:p>
    <w:p w:rsidR="00F36313" w:rsidRPr="009E4419" w:rsidRDefault="00F36313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2340"/>
      </w:tblGrid>
      <w:tr w:rsidR="00F36313" w:rsidRPr="009E4419">
        <w:tc>
          <w:tcPr>
            <w:tcW w:w="6660" w:type="dxa"/>
            <w:shd w:val="clear" w:color="auto" w:fill="auto"/>
          </w:tcPr>
          <w:p w:rsidR="00F36313" w:rsidRPr="009E4419" w:rsidRDefault="00F36313" w:rsidP="00F363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auto"/>
          </w:tcPr>
          <w:p w:rsidR="00F36313" w:rsidRPr="009E4419" w:rsidRDefault="00F36313" w:rsidP="00F363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Remuneration coefficient</w:t>
            </w:r>
          </w:p>
        </w:tc>
      </w:tr>
      <w:tr w:rsidR="00F36313" w:rsidRPr="009E4419">
        <w:tc>
          <w:tcPr>
            <w:tcW w:w="6660" w:type="dxa"/>
            <w:shd w:val="clear" w:color="auto" w:fill="auto"/>
          </w:tcPr>
          <w:p w:rsidR="00F36313" w:rsidRPr="009E4419" w:rsidRDefault="00F36313" w:rsidP="00F36313">
            <w:pPr>
              <w:tabs>
                <w:tab w:val="center" w:pos="4896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Chairman of the Board of Directors</w:t>
            </w:r>
            <w:r w:rsidRPr="009E44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shd w:val="clear" w:color="auto" w:fill="auto"/>
          </w:tcPr>
          <w:p w:rsidR="00F36313" w:rsidRPr="009E4419" w:rsidRDefault="00F36313" w:rsidP="00F363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F36313" w:rsidRPr="009E4419">
        <w:tc>
          <w:tcPr>
            <w:tcW w:w="6660" w:type="dxa"/>
            <w:shd w:val="clear" w:color="auto" w:fill="auto"/>
          </w:tcPr>
          <w:p w:rsidR="00F36313" w:rsidRPr="009E4419" w:rsidRDefault="00F36313" w:rsidP="00F3631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 xml:space="preserve">Member of the Board of Directors/ Member of the Board of Supervisors </w:t>
            </w:r>
          </w:p>
        </w:tc>
        <w:tc>
          <w:tcPr>
            <w:tcW w:w="2340" w:type="dxa"/>
            <w:shd w:val="clear" w:color="auto" w:fill="auto"/>
          </w:tcPr>
          <w:p w:rsidR="00F36313" w:rsidRPr="009E4419" w:rsidRDefault="00F36313" w:rsidP="00F363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F36313" w:rsidRPr="009E4419">
        <w:tc>
          <w:tcPr>
            <w:tcW w:w="6660" w:type="dxa"/>
            <w:shd w:val="clear" w:color="auto" w:fill="auto"/>
          </w:tcPr>
          <w:p w:rsidR="00F36313" w:rsidRPr="009E4419" w:rsidRDefault="00F36313" w:rsidP="00F36313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 xml:space="preserve">Company’s Secretary </w:t>
            </w:r>
          </w:p>
        </w:tc>
        <w:tc>
          <w:tcPr>
            <w:tcW w:w="2340" w:type="dxa"/>
            <w:shd w:val="clear" w:color="auto" w:fill="auto"/>
          </w:tcPr>
          <w:p w:rsidR="00F36313" w:rsidRPr="009E4419" w:rsidRDefault="00F36313" w:rsidP="00F363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</w:tbl>
    <w:p w:rsidR="00B970F8" w:rsidRPr="00325350" w:rsidRDefault="00AA7F47" w:rsidP="007B430B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325350">
        <w:rPr>
          <w:rFonts w:ascii="Arial" w:hAnsi="Arial" w:cs="Arial"/>
          <w:b/>
          <w:sz w:val="20"/>
          <w:szCs w:val="20"/>
        </w:rPr>
        <w:t>6. Approve</w:t>
      </w:r>
      <w:r w:rsidR="00F36313" w:rsidRPr="00325350">
        <w:rPr>
          <w:rFonts w:ascii="Arial" w:hAnsi="Arial" w:cs="Arial"/>
          <w:b/>
          <w:sz w:val="20"/>
          <w:szCs w:val="20"/>
        </w:rPr>
        <w:t xml:space="preserve"> the report No.12/BC-VTTC-HDQT of</w:t>
      </w:r>
      <w:r w:rsidR="00B970F8" w:rsidRPr="00325350">
        <w:rPr>
          <w:rFonts w:ascii="Arial" w:hAnsi="Arial" w:cs="Arial"/>
          <w:b/>
          <w:sz w:val="20"/>
          <w:szCs w:val="20"/>
        </w:rPr>
        <w:t xml:space="preserve"> </w:t>
      </w:r>
      <w:r w:rsidR="00F36313" w:rsidRPr="00325350">
        <w:rPr>
          <w:rFonts w:ascii="Arial" w:hAnsi="Arial" w:cs="Arial"/>
          <w:b/>
          <w:sz w:val="20"/>
          <w:szCs w:val="20"/>
        </w:rPr>
        <w:t xml:space="preserve">17 </w:t>
      </w:r>
      <w:r w:rsidR="00B970F8" w:rsidRPr="00325350">
        <w:rPr>
          <w:rFonts w:ascii="Arial" w:hAnsi="Arial" w:cs="Arial"/>
          <w:b/>
          <w:sz w:val="20"/>
          <w:szCs w:val="20"/>
        </w:rPr>
        <w:t>March</w:t>
      </w:r>
      <w:r w:rsidR="00F36313" w:rsidRPr="00325350">
        <w:rPr>
          <w:rFonts w:ascii="Arial" w:hAnsi="Arial" w:cs="Arial"/>
          <w:b/>
          <w:sz w:val="20"/>
          <w:szCs w:val="20"/>
        </w:rPr>
        <w:t>, 2017 of the Board of D</w:t>
      </w:r>
      <w:r w:rsidR="00B970F8" w:rsidRPr="00325350">
        <w:rPr>
          <w:rFonts w:ascii="Arial" w:hAnsi="Arial" w:cs="Arial"/>
          <w:b/>
          <w:sz w:val="20"/>
          <w:szCs w:val="20"/>
        </w:rPr>
        <w:t>irectors on publicizing some financial indicators</w:t>
      </w:r>
      <w:r w:rsidR="00F36313" w:rsidRPr="00325350">
        <w:rPr>
          <w:rFonts w:ascii="Arial" w:hAnsi="Arial" w:cs="Arial"/>
          <w:b/>
          <w:sz w:val="20"/>
          <w:szCs w:val="20"/>
        </w:rPr>
        <w:t>.</w:t>
      </w:r>
    </w:p>
    <w:p w:rsidR="00B970F8" w:rsidRPr="00325350" w:rsidRDefault="00F36313" w:rsidP="007B430B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325350">
        <w:rPr>
          <w:rFonts w:ascii="Arial" w:hAnsi="Arial" w:cs="Arial"/>
          <w:b/>
          <w:sz w:val="20"/>
          <w:szCs w:val="20"/>
        </w:rPr>
        <w:t>7</w:t>
      </w:r>
      <w:r w:rsidR="00576440" w:rsidRPr="00325350">
        <w:rPr>
          <w:rFonts w:ascii="Arial" w:hAnsi="Arial" w:cs="Arial"/>
          <w:b/>
          <w:sz w:val="20"/>
          <w:szCs w:val="20"/>
        </w:rPr>
        <w:t>. Approve</w:t>
      </w:r>
      <w:r w:rsidR="00B970F8" w:rsidRPr="00325350">
        <w:rPr>
          <w:rFonts w:ascii="Arial" w:hAnsi="Arial" w:cs="Arial"/>
          <w:b/>
          <w:sz w:val="20"/>
          <w:szCs w:val="20"/>
        </w:rPr>
        <w:t xml:space="preserve"> the profit distribution plan for 2016 proposed by the Board</w:t>
      </w:r>
      <w:r w:rsidR="00576440" w:rsidRPr="00325350">
        <w:rPr>
          <w:rFonts w:ascii="Arial" w:hAnsi="Arial" w:cs="Arial"/>
          <w:b/>
          <w:sz w:val="20"/>
          <w:szCs w:val="20"/>
        </w:rPr>
        <w:t xml:space="preserve"> of Directors in Report No.13/</w:t>
      </w:r>
      <w:r w:rsidR="00B970F8" w:rsidRPr="00325350">
        <w:rPr>
          <w:rFonts w:ascii="Arial" w:hAnsi="Arial" w:cs="Arial"/>
          <w:b/>
          <w:sz w:val="20"/>
          <w:szCs w:val="20"/>
        </w:rPr>
        <w:t>TT</w:t>
      </w:r>
      <w:r w:rsidR="00576440" w:rsidRPr="00325350">
        <w:rPr>
          <w:rFonts w:ascii="Arial" w:hAnsi="Arial" w:cs="Arial"/>
          <w:b/>
          <w:sz w:val="20"/>
          <w:szCs w:val="20"/>
        </w:rPr>
        <w:t>r-VTTC-HĐQT of 17</w:t>
      </w:r>
      <w:r w:rsidR="00B970F8" w:rsidRPr="00325350">
        <w:rPr>
          <w:rFonts w:ascii="Arial" w:hAnsi="Arial" w:cs="Arial"/>
          <w:b/>
          <w:sz w:val="20"/>
          <w:szCs w:val="20"/>
        </w:rPr>
        <w:t xml:space="preserve"> March, 2017 as follows: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483"/>
        <w:gridCol w:w="1696"/>
        <w:gridCol w:w="2590"/>
      </w:tblGrid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D413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071F00" w:rsidP="00D413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D413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Ratio</w:t>
            </w: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D413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38113D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 xml:space="preserve">Accounting profit before enterprise tax </w:t>
            </w:r>
            <w:r w:rsidR="00071F00" w:rsidRPr="009E4419">
              <w:rPr>
                <w:rFonts w:ascii="Arial" w:hAnsi="Arial" w:cs="Arial"/>
                <w:sz w:val="20"/>
                <w:szCs w:val="20"/>
              </w:rPr>
              <w:t>in 2016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12.525.466.772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071F00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Non-deductible items when determining taxable profits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267.832.234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D4139B" w:rsidP="00071F00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E4419">
                  <w:rPr>
                    <w:rFonts w:ascii="Arial" w:hAnsi="Arial" w:cs="Arial"/>
                    <w:sz w:val="20"/>
                    <w:szCs w:val="20"/>
                  </w:rPr>
                  <w:t>Enterprise</w:t>
                </w:r>
              </w:smartTag>
            </w:smartTag>
            <w:r w:rsidRPr="009E4419">
              <w:rPr>
                <w:rFonts w:ascii="Arial" w:hAnsi="Arial" w:cs="Arial"/>
                <w:sz w:val="20"/>
                <w:szCs w:val="20"/>
              </w:rPr>
              <w:t xml:space="preserve"> tax </w:t>
            </w:r>
            <w:r w:rsidR="00071F00" w:rsidRPr="009E4419">
              <w:rPr>
                <w:rFonts w:ascii="Arial" w:hAnsi="Arial" w:cs="Arial"/>
                <w:sz w:val="20"/>
                <w:szCs w:val="20"/>
              </w:rPr>
              <w:t>in 2016 (3 = (1 + 2) x20%)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2.558.659.801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071F00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Profit after tax (4 = 1-3)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9.966.806.971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D4139B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Non-distributed p</w:t>
            </w:r>
            <w:r w:rsidR="00071F00" w:rsidRPr="009E4419">
              <w:rPr>
                <w:rFonts w:ascii="Arial" w:hAnsi="Arial" w:cs="Arial"/>
                <w:sz w:val="20"/>
                <w:szCs w:val="20"/>
              </w:rPr>
              <w:t>rofit</w:t>
            </w:r>
            <w:r w:rsidRPr="009E4419">
              <w:rPr>
                <w:rFonts w:ascii="Arial" w:hAnsi="Arial" w:cs="Arial"/>
                <w:sz w:val="20"/>
                <w:szCs w:val="20"/>
              </w:rPr>
              <w:t xml:space="preserve"> of 2015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11.211.051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D4139B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Non-distributed r</w:t>
            </w:r>
            <w:r w:rsidR="00071F00" w:rsidRPr="009E4419">
              <w:rPr>
                <w:rFonts w:ascii="Arial" w:hAnsi="Arial" w:cs="Arial"/>
                <w:sz w:val="20"/>
                <w:szCs w:val="20"/>
              </w:rPr>
              <w:t xml:space="preserve">evenues </w:t>
            </w:r>
            <w:r w:rsidRPr="009E4419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r w:rsidRPr="009E4419">
              <w:rPr>
                <w:rFonts w:ascii="Arial" w:hAnsi="Arial" w:cs="Arial"/>
                <w:sz w:val="20"/>
                <w:szCs w:val="20"/>
              </w:rPr>
              <w:lastRenderedPageBreak/>
              <w:t>Circular 179/2012/</w:t>
            </w:r>
            <w:r w:rsidR="00071F00" w:rsidRPr="009E4419">
              <w:rPr>
                <w:rFonts w:ascii="Arial" w:hAnsi="Arial" w:cs="Arial"/>
                <w:sz w:val="20"/>
                <w:szCs w:val="20"/>
              </w:rPr>
              <w:t>TT-BTC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17.603.445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071F00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Profit Distribution (7 = 5 + 4-6)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9.960.414.577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071F00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 xml:space="preserve">Dividend </w:t>
            </w:r>
            <w:r w:rsidR="00D4139B" w:rsidRPr="009E4419">
              <w:rPr>
                <w:rFonts w:ascii="Arial" w:hAnsi="Arial" w:cs="Arial"/>
                <w:sz w:val="20"/>
                <w:szCs w:val="20"/>
              </w:rPr>
              <w:t xml:space="preserve">payment rate of </w:t>
            </w:r>
            <w:r w:rsidRPr="009E4419">
              <w:rPr>
                <w:rFonts w:ascii="Arial" w:hAnsi="Arial" w:cs="Arial"/>
                <w:sz w:val="20"/>
                <w:szCs w:val="20"/>
              </w:rPr>
              <w:t>14% of cha</w:t>
            </w:r>
            <w:r w:rsidR="009E5D9D" w:rsidRPr="009E4419">
              <w:rPr>
                <w:rFonts w:ascii="Arial" w:hAnsi="Arial" w:cs="Arial"/>
                <w:sz w:val="20"/>
                <w:szCs w:val="20"/>
              </w:rPr>
              <w:t>rter capital (= VND 25.000.560.000x</w:t>
            </w:r>
            <w:r w:rsidRPr="009E4419">
              <w:rPr>
                <w:rFonts w:ascii="Arial" w:hAnsi="Arial" w:cs="Arial"/>
                <w:sz w:val="20"/>
                <w:szCs w:val="20"/>
              </w:rPr>
              <w:t xml:space="preserve"> 14%)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3.500.078.400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E22710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Distribution of r</w:t>
            </w:r>
            <w:r w:rsidR="00071F00" w:rsidRPr="009E4419">
              <w:rPr>
                <w:rFonts w:ascii="Arial" w:hAnsi="Arial" w:cs="Arial"/>
                <w:sz w:val="20"/>
                <w:szCs w:val="20"/>
              </w:rPr>
              <w:t>emaining profit (9 = 7-8)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6.460.336.177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071F00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Deduction of development investment fund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1.938.100.853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071F00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Reward management officer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240.000.000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071F00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Deduction for the reward fund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2.141.117.662</w:t>
            </w:r>
          </w:p>
        </w:tc>
      </w:tr>
      <w:tr w:rsidR="0038113D" w:rsidRPr="009E4419">
        <w:tc>
          <w:tcPr>
            <w:tcW w:w="799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83" w:type="dxa"/>
            <w:shd w:val="clear" w:color="auto" w:fill="auto"/>
          </w:tcPr>
          <w:p w:rsidR="00071F00" w:rsidRPr="009E4419" w:rsidRDefault="00071F00" w:rsidP="00071F00">
            <w:pPr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Deduction of welfare fund</w:t>
            </w:r>
          </w:p>
        </w:tc>
        <w:tc>
          <w:tcPr>
            <w:tcW w:w="1696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071F00" w:rsidRPr="009E4419" w:rsidRDefault="00071F00" w:rsidP="00071F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2.141.117.662</w:t>
            </w:r>
          </w:p>
        </w:tc>
      </w:tr>
    </w:tbl>
    <w:p w:rsidR="00071F00" w:rsidRPr="009E4419" w:rsidRDefault="00071F00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B970F8" w:rsidRPr="009E4419" w:rsidRDefault="00177BD9" w:rsidP="007B430B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E4419">
        <w:rPr>
          <w:rFonts w:ascii="Arial" w:hAnsi="Arial" w:cs="Arial"/>
          <w:b/>
          <w:sz w:val="20"/>
          <w:szCs w:val="20"/>
        </w:rPr>
        <w:t xml:space="preserve">II. Approve of the content of </w:t>
      </w:r>
      <w:r w:rsidR="00C56C06">
        <w:rPr>
          <w:rFonts w:ascii="Arial" w:hAnsi="Arial" w:cs="Arial"/>
          <w:b/>
          <w:sz w:val="20"/>
          <w:szCs w:val="20"/>
        </w:rPr>
        <w:t>report No.21/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TTr-VTTC-HDQT </w:t>
      </w:r>
      <w:r w:rsidRPr="009E4419">
        <w:rPr>
          <w:rFonts w:ascii="Arial" w:hAnsi="Arial" w:cs="Arial"/>
          <w:b/>
          <w:sz w:val="20"/>
          <w:szCs w:val="20"/>
        </w:rPr>
        <w:t>of 07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April</w:t>
      </w:r>
      <w:r w:rsidRPr="009E4419">
        <w:rPr>
          <w:rFonts w:ascii="Arial" w:hAnsi="Arial" w:cs="Arial"/>
          <w:b/>
          <w:sz w:val="20"/>
          <w:szCs w:val="20"/>
        </w:rPr>
        <w:t>, 2017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of the Board of Directors on the replacement of the members of the Board</w:t>
      </w:r>
      <w:r w:rsidRPr="009E4419">
        <w:rPr>
          <w:rFonts w:ascii="Arial" w:hAnsi="Arial" w:cs="Arial"/>
          <w:b/>
          <w:sz w:val="20"/>
          <w:szCs w:val="20"/>
        </w:rPr>
        <w:t xml:space="preserve"> of Supervisor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</w:t>
      </w:r>
      <w:r w:rsidR="00C56C06">
        <w:rPr>
          <w:rFonts w:ascii="Arial" w:hAnsi="Arial" w:cs="Arial"/>
          <w:b/>
          <w:sz w:val="20"/>
          <w:szCs w:val="20"/>
        </w:rPr>
        <w:t>– Third T</w:t>
      </w:r>
      <w:r w:rsidR="00B970F8" w:rsidRPr="009E4419">
        <w:rPr>
          <w:rFonts w:ascii="Arial" w:hAnsi="Arial" w:cs="Arial"/>
          <w:b/>
          <w:sz w:val="20"/>
          <w:szCs w:val="20"/>
        </w:rPr>
        <w:t>erm</w:t>
      </w:r>
      <w:r w:rsidR="00C56C06">
        <w:rPr>
          <w:rFonts w:ascii="Arial" w:hAnsi="Arial" w:cs="Arial"/>
          <w:b/>
          <w:sz w:val="20"/>
          <w:szCs w:val="20"/>
        </w:rPr>
        <w:t xml:space="preserve"> </w:t>
      </w:r>
      <w:r w:rsidR="00B970F8" w:rsidRPr="009E4419">
        <w:rPr>
          <w:rFonts w:ascii="Arial" w:hAnsi="Arial" w:cs="Arial"/>
          <w:b/>
          <w:sz w:val="20"/>
          <w:szCs w:val="20"/>
        </w:rPr>
        <w:t>as follows:</w:t>
      </w:r>
    </w:p>
    <w:p w:rsidR="00B970F8" w:rsidRPr="009E4419" w:rsidRDefault="00177BD9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According to Decision No. 462/QD-TKV of 17 </w:t>
      </w:r>
      <w:r w:rsidR="00B970F8" w:rsidRPr="009E4419">
        <w:rPr>
          <w:rFonts w:ascii="Arial" w:hAnsi="Arial" w:cs="Arial"/>
          <w:sz w:val="20"/>
          <w:szCs w:val="20"/>
        </w:rPr>
        <w:t xml:space="preserve">March, </w:t>
      </w:r>
      <w:r w:rsidRPr="009E4419">
        <w:rPr>
          <w:rFonts w:ascii="Arial" w:hAnsi="Arial" w:cs="Arial"/>
          <w:sz w:val="20"/>
          <w:szCs w:val="20"/>
        </w:rPr>
        <w:t>2017</w:t>
      </w:r>
      <w:r w:rsidR="00B970F8" w:rsidRPr="009E4419">
        <w:rPr>
          <w:rFonts w:ascii="Arial" w:hAnsi="Arial" w:cs="Arial"/>
          <w:sz w:val="20"/>
          <w:szCs w:val="20"/>
        </w:rPr>
        <w:t xml:space="preserve"> of </w:t>
      </w:r>
      <w:r w:rsidRPr="009E4419">
        <w:rPr>
          <w:rFonts w:ascii="Arial" w:hAnsi="Arial" w:cs="Arial"/>
          <w:sz w:val="20"/>
          <w:szCs w:val="20"/>
        </w:rPr>
        <w:t>Vietnam National Coal-</w:t>
      </w:r>
      <w:r w:rsidR="00B970F8" w:rsidRPr="009E4419">
        <w:rPr>
          <w:rFonts w:ascii="Arial" w:hAnsi="Arial" w:cs="Arial"/>
          <w:sz w:val="20"/>
          <w:szCs w:val="20"/>
        </w:rPr>
        <w:t xml:space="preserve">Mineral Industries </w:t>
      </w:r>
      <w:r w:rsidRPr="009E4419">
        <w:rPr>
          <w:rFonts w:ascii="Arial" w:hAnsi="Arial" w:cs="Arial"/>
          <w:sz w:val="20"/>
          <w:szCs w:val="20"/>
        </w:rPr>
        <w:t xml:space="preserve">Holding Corporation Limited </w:t>
      </w:r>
      <w:r w:rsidR="00A84DFE" w:rsidRPr="009E4419">
        <w:rPr>
          <w:rFonts w:ascii="Arial" w:hAnsi="Arial" w:cs="Arial"/>
          <w:sz w:val="20"/>
          <w:szCs w:val="20"/>
        </w:rPr>
        <w:t xml:space="preserve">(Vinacomin) </w:t>
      </w:r>
      <w:r w:rsidR="00B970F8" w:rsidRPr="009E4419">
        <w:rPr>
          <w:rFonts w:ascii="Arial" w:hAnsi="Arial" w:cs="Arial"/>
          <w:sz w:val="20"/>
          <w:szCs w:val="20"/>
        </w:rPr>
        <w:t>(the shareholder holds 36% of the share capital of the company) on cha</w:t>
      </w:r>
      <w:r w:rsidRPr="009E4419">
        <w:rPr>
          <w:rFonts w:ascii="Arial" w:hAnsi="Arial" w:cs="Arial"/>
          <w:sz w:val="20"/>
          <w:szCs w:val="20"/>
        </w:rPr>
        <w:t xml:space="preserve">nging the representative </w:t>
      </w:r>
      <w:r w:rsidR="00A84DFE" w:rsidRPr="009E4419">
        <w:rPr>
          <w:rFonts w:ascii="Arial" w:hAnsi="Arial" w:cs="Arial"/>
          <w:sz w:val="20"/>
          <w:szCs w:val="20"/>
        </w:rPr>
        <w:t xml:space="preserve">of Vinacomin </w:t>
      </w:r>
      <w:r w:rsidRPr="009E4419">
        <w:rPr>
          <w:rFonts w:ascii="Arial" w:hAnsi="Arial" w:cs="Arial"/>
          <w:sz w:val="20"/>
          <w:szCs w:val="20"/>
        </w:rPr>
        <w:t xml:space="preserve">to join the </w:t>
      </w:r>
      <w:r w:rsidR="00B970F8" w:rsidRPr="009E4419">
        <w:rPr>
          <w:rFonts w:ascii="Arial" w:hAnsi="Arial" w:cs="Arial"/>
          <w:sz w:val="20"/>
          <w:szCs w:val="20"/>
        </w:rPr>
        <w:t xml:space="preserve">Board </w:t>
      </w:r>
      <w:r w:rsidRPr="009E4419">
        <w:rPr>
          <w:rFonts w:ascii="Arial" w:hAnsi="Arial" w:cs="Arial"/>
          <w:sz w:val="20"/>
          <w:szCs w:val="20"/>
        </w:rPr>
        <w:t xml:space="preserve">of Supervisors </w:t>
      </w:r>
      <w:r w:rsidR="00880DC8" w:rsidRPr="009E4419">
        <w:rPr>
          <w:rFonts w:ascii="Arial" w:hAnsi="Arial" w:cs="Arial"/>
          <w:sz w:val="20"/>
          <w:szCs w:val="20"/>
        </w:rPr>
        <w:t xml:space="preserve">of Travel </w:t>
      </w:r>
      <w:r w:rsidR="00A84DFE" w:rsidRPr="009E4419">
        <w:rPr>
          <w:rFonts w:ascii="Arial" w:hAnsi="Arial" w:cs="Arial"/>
          <w:sz w:val="20"/>
          <w:szCs w:val="20"/>
        </w:rPr>
        <w:t>and</w:t>
      </w:r>
      <w:r w:rsidR="00B970F8" w:rsidRPr="009E4419">
        <w:rPr>
          <w:rFonts w:ascii="Arial" w:hAnsi="Arial" w:cs="Arial"/>
          <w:sz w:val="20"/>
          <w:szCs w:val="20"/>
        </w:rPr>
        <w:t xml:space="preserve"> </w:t>
      </w:r>
      <w:r w:rsidR="00880DC8" w:rsidRPr="009E4419">
        <w:rPr>
          <w:rFonts w:ascii="Arial" w:hAnsi="Arial" w:cs="Arial"/>
          <w:sz w:val="20"/>
          <w:szCs w:val="20"/>
        </w:rPr>
        <w:t>Trading</w:t>
      </w:r>
      <w:r w:rsidR="00A84DFE" w:rsidRPr="009E4419">
        <w:rPr>
          <w:rFonts w:ascii="Arial" w:hAnsi="Arial" w:cs="Arial"/>
          <w:sz w:val="20"/>
          <w:szCs w:val="20"/>
        </w:rPr>
        <w:t xml:space="preserve"> </w:t>
      </w:r>
      <w:r w:rsidR="00B970F8" w:rsidRPr="009E4419">
        <w:rPr>
          <w:rFonts w:ascii="Arial" w:hAnsi="Arial" w:cs="Arial"/>
          <w:sz w:val="20"/>
          <w:szCs w:val="20"/>
        </w:rPr>
        <w:t>Joint Stock Company</w:t>
      </w:r>
      <w:r w:rsidR="00A84DFE" w:rsidRPr="009E4419">
        <w:rPr>
          <w:rFonts w:ascii="Arial" w:hAnsi="Arial" w:cs="Arial"/>
          <w:sz w:val="20"/>
          <w:szCs w:val="20"/>
        </w:rPr>
        <w:t>-Vinacomin</w:t>
      </w:r>
      <w:r w:rsidR="00B970F8" w:rsidRPr="009E4419">
        <w:rPr>
          <w:rFonts w:ascii="Arial" w:hAnsi="Arial" w:cs="Arial"/>
          <w:sz w:val="20"/>
          <w:szCs w:val="20"/>
        </w:rPr>
        <w:t xml:space="preserve">: Ms. Tran Thi Kim Loan - Deputy Director of Vinacomin's </w:t>
      </w:r>
      <w:r w:rsidR="00A84DFE" w:rsidRPr="009E4419">
        <w:rPr>
          <w:rFonts w:ascii="Arial" w:hAnsi="Arial" w:cs="Arial"/>
          <w:sz w:val="20"/>
          <w:szCs w:val="20"/>
        </w:rPr>
        <w:t>I</w:t>
      </w:r>
      <w:r w:rsidR="00B970F8" w:rsidRPr="009E4419">
        <w:rPr>
          <w:rFonts w:ascii="Arial" w:hAnsi="Arial" w:cs="Arial"/>
          <w:sz w:val="20"/>
          <w:szCs w:val="20"/>
        </w:rPr>
        <w:t>nternal</w:t>
      </w:r>
      <w:r w:rsidR="00A84DFE" w:rsidRPr="009E4419">
        <w:rPr>
          <w:rFonts w:ascii="Arial" w:hAnsi="Arial" w:cs="Arial"/>
          <w:sz w:val="20"/>
          <w:szCs w:val="20"/>
        </w:rPr>
        <w:t xml:space="preserve"> Board of Supervisor</w:t>
      </w:r>
      <w:r w:rsidR="007342F9" w:rsidRPr="009E4419">
        <w:rPr>
          <w:rFonts w:ascii="Arial" w:hAnsi="Arial" w:cs="Arial"/>
          <w:sz w:val="20"/>
          <w:szCs w:val="20"/>
        </w:rPr>
        <w:t>s</w:t>
      </w:r>
      <w:r w:rsidR="00A84DFE" w:rsidRPr="009E4419">
        <w:rPr>
          <w:rFonts w:ascii="Arial" w:hAnsi="Arial" w:cs="Arial"/>
          <w:sz w:val="20"/>
          <w:szCs w:val="20"/>
        </w:rPr>
        <w:t xml:space="preserve"> </w:t>
      </w:r>
      <w:r w:rsidR="007342F9" w:rsidRPr="009E4419">
        <w:rPr>
          <w:rFonts w:ascii="Arial" w:hAnsi="Arial" w:cs="Arial"/>
          <w:sz w:val="20"/>
          <w:szCs w:val="20"/>
        </w:rPr>
        <w:t>ceased</w:t>
      </w:r>
      <w:r w:rsidR="00B970F8" w:rsidRPr="009E4419">
        <w:rPr>
          <w:rFonts w:ascii="Arial" w:hAnsi="Arial" w:cs="Arial"/>
          <w:sz w:val="20"/>
          <w:szCs w:val="20"/>
        </w:rPr>
        <w:t xml:space="preserve"> to be the representative of Vinacomin </w:t>
      </w:r>
      <w:r w:rsidR="00A84DFE" w:rsidRPr="009E4419">
        <w:rPr>
          <w:rFonts w:ascii="Arial" w:hAnsi="Arial" w:cs="Arial"/>
          <w:sz w:val="20"/>
          <w:szCs w:val="20"/>
        </w:rPr>
        <w:t xml:space="preserve">in the Board of Supervisors </w:t>
      </w:r>
      <w:r w:rsidR="00B970F8" w:rsidRPr="009E4419">
        <w:rPr>
          <w:rFonts w:ascii="Arial" w:hAnsi="Arial" w:cs="Arial"/>
          <w:sz w:val="20"/>
          <w:szCs w:val="20"/>
        </w:rPr>
        <w:t xml:space="preserve">of </w:t>
      </w:r>
      <w:r w:rsidR="00880DC8" w:rsidRPr="009E4419">
        <w:rPr>
          <w:rFonts w:ascii="Arial" w:hAnsi="Arial" w:cs="Arial"/>
          <w:sz w:val="20"/>
          <w:szCs w:val="20"/>
        </w:rPr>
        <w:t xml:space="preserve">Travel and Trading </w:t>
      </w:r>
      <w:r w:rsidR="00A84DFE" w:rsidRPr="009E4419">
        <w:rPr>
          <w:rFonts w:ascii="Arial" w:hAnsi="Arial" w:cs="Arial"/>
          <w:sz w:val="20"/>
          <w:szCs w:val="20"/>
        </w:rPr>
        <w:t xml:space="preserve">Joint Stock Company-Vinacomin and </w:t>
      </w:r>
      <w:r w:rsidR="00B970F8" w:rsidRPr="009E4419">
        <w:rPr>
          <w:rFonts w:ascii="Arial" w:hAnsi="Arial" w:cs="Arial"/>
          <w:sz w:val="20"/>
          <w:szCs w:val="20"/>
        </w:rPr>
        <w:t>resig</w:t>
      </w:r>
      <w:r w:rsidR="007342F9" w:rsidRPr="009E4419">
        <w:rPr>
          <w:rFonts w:ascii="Arial" w:hAnsi="Arial" w:cs="Arial"/>
          <w:sz w:val="20"/>
          <w:szCs w:val="20"/>
        </w:rPr>
        <w:t xml:space="preserve">ned head of </w:t>
      </w:r>
      <w:r w:rsidR="00C56C06">
        <w:rPr>
          <w:rFonts w:ascii="Arial" w:hAnsi="Arial" w:cs="Arial"/>
          <w:sz w:val="20"/>
          <w:szCs w:val="20"/>
        </w:rPr>
        <w:t>Board of Supervisors</w:t>
      </w:r>
      <w:r w:rsidR="007342F9" w:rsidRPr="009E4419">
        <w:rPr>
          <w:rFonts w:ascii="Arial" w:hAnsi="Arial" w:cs="Arial"/>
          <w:sz w:val="20"/>
          <w:szCs w:val="20"/>
        </w:rPr>
        <w:t>; Vinacomin</w:t>
      </w:r>
      <w:r w:rsidR="00B970F8" w:rsidRPr="009E4419">
        <w:rPr>
          <w:rFonts w:ascii="Arial" w:hAnsi="Arial" w:cs="Arial"/>
          <w:sz w:val="20"/>
          <w:szCs w:val="20"/>
        </w:rPr>
        <w:t xml:space="preserve"> appoints Ms. Le Thi Minh Hong - Deputy D</w:t>
      </w:r>
      <w:r w:rsidR="007342F9" w:rsidRPr="009E4419">
        <w:rPr>
          <w:rFonts w:ascii="Arial" w:hAnsi="Arial" w:cs="Arial"/>
          <w:sz w:val="20"/>
          <w:szCs w:val="20"/>
        </w:rPr>
        <w:t xml:space="preserve">irector of Vinacomin's Internal Board of Supervisors </w:t>
      </w:r>
      <w:r w:rsidR="00B970F8" w:rsidRPr="009E4419">
        <w:rPr>
          <w:rFonts w:ascii="Arial" w:hAnsi="Arial" w:cs="Arial"/>
          <w:sz w:val="20"/>
          <w:szCs w:val="20"/>
        </w:rPr>
        <w:t>as Vinacomi</w:t>
      </w:r>
      <w:r w:rsidR="007342F9" w:rsidRPr="009E4419">
        <w:rPr>
          <w:rFonts w:ascii="Arial" w:hAnsi="Arial" w:cs="Arial"/>
          <w:sz w:val="20"/>
          <w:szCs w:val="20"/>
        </w:rPr>
        <w:t>n's representative to join the B</w:t>
      </w:r>
      <w:r w:rsidR="00B970F8" w:rsidRPr="009E4419">
        <w:rPr>
          <w:rFonts w:ascii="Arial" w:hAnsi="Arial" w:cs="Arial"/>
          <w:sz w:val="20"/>
          <w:szCs w:val="20"/>
        </w:rPr>
        <w:t xml:space="preserve">oard of </w:t>
      </w:r>
      <w:r w:rsidR="007342F9" w:rsidRPr="009E4419">
        <w:rPr>
          <w:rFonts w:ascii="Arial" w:hAnsi="Arial" w:cs="Arial"/>
          <w:sz w:val="20"/>
          <w:szCs w:val="20"/>
        </w:rPr>
        <w:t>Supervisors</w:t>
      </w:r>
      <w:r w:rsidR="00B970F8" w:rsidRPr="009E4419">
        <w:rPr>
          <w:rFonts w:ascii="Arial" w:hAnsi="Arial" w:cs="Arial"/>
          <w:sz w:val="20"/>
          <w:szCs w:val="20"/>
        </w:rPr>
        <w:t>.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According to Clause 7, Point f- Article 33 of the company's Charter:</w:t>
      </w:r>
      <w:r w:rsidR="007B2CF8" w:rsidRPr="009E4419">
        <w:rPr>
          <w:rFonts w:ascii="Arial" w:hAnsi="Arial" w:cs="Arial"/>
          <w:sz w:val="20"/>
          <w:szCs w:val="20"/>
        </w:rPr>
        <w:t xml:space="preserve"> Ms</w:t>
      </w:r>
      <w:r w:rsidRPr="009E4419">
        <w:rPr>
          <w:rFonts w:ascii="Arial" w:hAnsi="Arial" w:cs="Arial"/>
          <w:sz w:val="20"/>
          <w:szCs w:val="20"/>
        </w:rPr>
        <w:t xml:space="preserve"> Tran Thi Kim Loan is no lon</w:t>
      </w:r>
      <w:r w:rsidR="007B2CF8" w:rsidRPr="009E4419">
        <w:rPr>
          <w:rFonts w:ascii="Arial" w:hAnsi="Arial" w:cs="Arial"/>
          <w:sz w:val="20"/>
          <w:szCs w:val="20"/>
        </w:rPr>
        <w:t xml:space="preserve">ger a member of the </w:t>
      </w:r>
      <w:r w:rsidRPr="009E4419">
        <w:rPr>
          <w:rFonts w:ascii="Arial" w:hAnsi="Arial" w:cs="Arial"/>
          <w:sz w:val="20"/>
          <w:szCs w:val="20"/>
        </w:rPr>
        <w:t>Board</w:t>
      </w:r>
      <w:r w:rsidR="007B2CF8" w:rsidRPr="009E4419">
        <w:rPr>
          <w:rFonts w:ascii="Arial" w:hAnsi="Arial" w:cs="Arial"/>
          <w:sz w:val="20"/>
          <w:szCs w:val="20"/>
        </w:rPr>
        <w:t xml:space="preserve"> of Supervisors</w:t>
      </w:r>
      <w:r w:rsidRPr="009E4419">
        <w:rPr>
          <w:rFonts w:ascii="Arial" w:hAnsi="Arial" w:cs="Arial"/>
          <w:sz w:val="20"/>
          <w:szCs w:val="20"/>
        </w:rPr>
        <w:t>. Therefore, the Board of Supervisors should add new members to replace Tran Thi Kim Loan.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 xml:space="preserve">The General Assembly of </w:t>
      </w:r>
      <w:r w:rsidR="00DC0B22" w:rsidRPr="009E4419">
        <w:rPr>
          <w:rFonts w:ascii="Arial" w:hAnsi="Arial" w:cs="Arial"/>
          <w:sz w:val="20"/>
          <w:szCs w:val="20"/>
        </w:rPr>
        <w:t>Shareholders unanimously carries</w:t>
      </w:r>
      <w:r w:rsidRPr="009E4419">
        <w:rPr>
          <w:rFonts w:ascii="Arial" w:hAnsi="Arial" w:cs="Arial"/>
          <w:sz w:val="20"/>
          <w:szCs w:val="20"/>
        </w:rPr>
        <w:t xml:space="preserve"> out procedures for the election of members replacing Ms. Tran Thi Kim Loan in accordan</w:t>
      </w:r>
      <w:r w:rsidR="00DC0B22" w:rsidRPr="009E4419">
        <w:rPr>
          <w:rFonts w:ascii="Arial" w:hAnsi="Arial" w:cs="Arial"/>
          <w:sz w:val="20"/>
          <w:szCs w:val="20"/>
        </w:rPr>
        <w:t>ce with Enterprise Law No. 68/</w:t>
      </w:r>
      <w:r w:rsidRPr="009E4419">
        <w:rPr>
          <w:rFonts w:ascii="Arial" w:hAnsi="Arial" w:cs="Arial"/>
          <w:sz w:val="20"/>
          <w:szCs w:val="20"/>
        </w:rPr>
        <w:t>2014QH13 and the current Charter of organization and operation of the company.</w:t>
      </w:r>
    </w:p>
    <w:p w:rsidR="00B970F8" w:rsidRPr="009E4419" w:rsidRDefault="00E62D25" w:rsidP="007B430B">
      <w:pPr>
        <w:spacing w:before="60" w:after="60" w:line="276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9E4419">
        <w:rPr>
          <w:rFonts w:ascii="Arial" w:hAnsi="Arial" w:cs="Arial"/>
          <w:b/>
          <w:sz w:val="20"/>
          <w:szCs w:val="20"/>
        </w:rPr>
        <w:t>Article III:</w:t>
      </w:r>
      <w:r w:rsidR="007C1CD8" w:rsidRPr="009E4419">
        <w:rPr>
          <w:rFonts w:ascii="Arial" w:hAnsi="Arial" w:cs="Arial"/>
          <w:b/>
          <w:sz w:val="20"/>
          <w:szCs w:val="20"/>
        </w:rPr>
        <w:t xml:space="preserve"> Recognize 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election results </w:t>
      </w:r>
      <w:r w:rsidR="007C1CD8" w:rsidRPr="009E4419">
        <w:rPr>
          <w:rFonts w:ascii="Arial" w:hAnsi="Arial" w:cs="Arial"/>
          <w:b/>
          <w:sz w:val="20"/>
          <w:szCs w:val="20"/>
        </w:rPr>
        <w:t xml:space="preserve">to </w:t>
      </w:r>
      <w:r w:rsidR="00B970F8" w:rsidRPr="009E4419">
        <w:rPr>
          <w:rFonts w:ascii="Arial" w:hAnsi="Arial" w:cs="Arial"/>
          <w:b/>
          <w:sz w:val="20"/>
          <w:szCs w:val="20"/>
        </w:rPr>
        <w:t>replac</w:t>
      </w:r>
      <w:r w:rsidR="007C1CD8" w:rsidRPr="009E4419">
        <w:rPr>
          <w:rFonts w:ascii="Arial" w:hAnsi="Arial" w:cs="Arial"/>
          <w:b/>
          <w:sz w:val="20"/>
          <w:szCs w:val="20"/>
        </w:rPr>
        <w:t xml:space="preserve">e one member of the </w:t>
      </w:r>
      <w:r w:rsidR="00B970F8" w:rsidRPr="009E4419">
        <w:rPr>
          <w:rFonts w:ascii="Arial" w:hAnsi="Arial" w:cs="Arial"/>
          <w:b/>
          <w:sz w:val="20"/>
          <w:szCs w:val="20"/>
        </w:rPr>
        <w:t>Board</w:t>
      </w:r>
      <w:r w:rsidR="007C1CD8" w:rsidRPr="009E4419">
        <w:rPr>
          <w:rFonts w:ascii="Arial" w:hAnsi="Arial" w:cs="Arial"/>
          <w:b/>
          <w:sz w:val="20"/>
          <w:szCs w:val="20"/>
        </w:rPr>
        <w:t xml:space="preserve"> of Supervisors of the company Third T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erm according to details in the minutes of vote counting </w:t>
      </w:r>
      <w:r w:rsidR="0038341E" w:rsidRPr="009E4419">
        <w:rPr>
          <w:rFonts w:ascii="Arial" w:hAnsi="Arial" w:cs="Arial"/>
          <w:i/>
          <w:sz w:val="20"/>
          <w:szCs w:val="20"/>
        </w:rPr>
        <w:t xml:space="preserve">(the enclosed </w:t>
      </w:r>
      <w:r w:rsidR="00B970F8" w:rsidRPr="009E4419">
        <w:rPr>
          <w:rFonts w:ascii="Arial" w:hAnsi="Arial" w:cs="Arial"/>
          <w:i/>
          <w:sz w:val="20"/>
          <w:szCs w:val="20"/>
        </w:rPr>
        <w:t>minutes)</w:t>
      </w:r>
    </w:p>
    <w:p w:rsidR="00D905F1" w:rsidRPr="009E4419" w:rsidRDefault="007C1CD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The new member of the B</w:t>
      </w:r>
      <w:r w:rsidR="00B970F8" w:rsidRPr="009E4419">
        <w:rPr>
          <w:rFonts w:ascii="Arial" w:hAnsi="Arial" w:cs="Arial"/>
          <w:sz w:val="20"/>
          <w:szCs w:val="20"/>
        </w:rPr>
        <w:t xml:space="preserve">oard of </w:t>
      </w:r>
      <w:r w:rsidRPr="009E4419">
        <w:rPr>
          <w:rFonts w:ascii="Arial" w:hAnsi="Arial" w:cs="Arial"/>
          <w:sz w:val="20"/>
          <w:szCs w:val="20"/>
        </w:rPr>
        <w:t>Supervisors</w:t>
      </w:r>
      <w:r w:rsidR="008A4BE6">
        <w:rPr>
          <w:rFonts w:ascii="Arial" w:hAnsi="Arial" w:cs="Arial"/>
          <w:sz w:val="20"/>
          <w:szCs w:val="20"/>
        </w:rPr>
        <w:t xml:space="preserve"> -</w:t>
      </w:r>
      <w:r w:rsidR="00B970F8" w:rsidRPr="009E4419">
        <w:rPr>
          <w:rFonts w:ascii="Arial" w:hAnsi="Arial" w:cs="Arial"/>
          <w:sz w:val="20"/>
          <w:szCs w:val="20"/>
        </w:rPr>
        <w:t xml:space="preserve"> third term </w:t>
      </w:r>
      <w:r w:rsidR="008A4BE6">
        <w:rPr>
          <w:rFonts w:ascii="Arial" w:hAnsi="Arial" w:cs="Arial"/>
          <w:sz w:val="20"/>
          <w:szCs w:val="20"/>
        </w:rPr>
        <w:t>-</w:t>
      </w:r>
      <w:r w:rsidR="007A13B1" w:rsidRPr="009E4419">
        <w:rPr>
          <w:rFonts w:ascii="Arial" w:hAnsi="Arial" w:cs="Arial"/>
          <w:sz w:val="20"/>
          <w:szCs w:val="20"/>
        </w:rPr>
        <w:t xml:space="preserve"> replaces</w:t>
      </w:r>
      <w:r w:rsidR="00B970F8" w:rsidRPr="009E4419">
        <w:rPr>
          <w:rFonts w:ascii="Arial" w:hAnsi="Arial" w:cs="Arial"/>
          <w:sz w:val="20"/>
          <w:szCs w:val="20"/>
        </w:rPr>
        <w:t xml:space="preserve"> </w:t>
      </w:r>
      <w:r w:rsidR="00206A84" w:rsidRPr="009E4419">
        <w:rPr>
          <w:rFonts w:ascii="Arial" w:hAnsi="Arial" w:cs="Arial"/>
          <w:sz w:val="20"/>
          <w:szCs w:val="20"/>
        </w:rPr>
        <w:t xml:space="preserve">Ms </w:t>
      </w:r>
      <w:r w:rsidR="00B970F8" w:rsidRPr="009E4419">
        <w:rPr>
          <w:rFonts w:ascii="Arial" w:hAnsi="Arial" w:cs="Arial"/>
          <w:sz w:val="20"/>
          <w:szCs w:val="20"/>
        </w:rPr>
        <w:t xml:space="preserve">Tran Thi Kim Loan and </w:t>
      </w:r>
      <w:r w:rsidR="00206A84" w:rsidRPr="009E4419">
        <w:rPr>
          <w:rFonts w:ascii="Arial" w:hAnsi="Arial" w:cs="Arial"/>
          <w:sz w:val="20"/>
          <w:szCs w:val="20"/>
        </w:rPr>
        <w:t>Ms Le Thi Kim Hong - Deputy director</w:t>
      </w:r>
      <w:r w:rsidR="008A4BE6">
        <w:rPr>
          <w:rFonts w:ascii="Arial" w:hAnsi="Arial" w:cs="Arial"/>
          <w:sz w:val="20"/>
          <w:szCs w:val="20"/>
        </w:rPr>
        <w:t xml:space="preserve"> of I</w:t>
      </w:r>
      <w:r w:rsidR="00B970F8" w:rsidRPr="009E4419">
        <w:rPr>
          <w:rFonts w:ascii="Arial" w:hAnsi="Arial" w:cs="Arial"/>
          <w:sz w:val="20"/>
          <w:szCs w:val="20"/>
        </w:rPr>
        <w:t xml:space="preserve">nternal </w:t>
      </w:r>
      <w:r w:rsidR="00870367" w:rsidRPr="009E4419">
        <w:rPr>
          <w:rFonts w:ascii="Arial" w:hAnsi="Arial" w:cs="Arial"/>
          <w:sz w:val="20"/>
          <w:szCs w:val="20"/>
        </w:rPr>
        <w:t>B</w:t>
      </w:r>
      <w:r w:rsidR="00B970F8" w:rsidRPr="009E4419">
        <w:rPr>
          <w:rFonts w:ascii="Arial" w:hAnsi="Arial" w:cs="Arial"/>
          <w:sz w:val="20"/>
          <w:szCs w:val="20"/>
        </w:rPr>
        <w:t xml:space="preserve">oard of </w:t>
      </w:r>
      <w:r w:rsidR="00870367" w:rsidRPr="009E4419">
        <w:rPr>
          <w:rFonts w:ascii="Arial" w:hAnsi="Arial" w:cs="Arial"/>
          <w:sz w:val="20"/>
          <w:szCs w:val="20"/>
        </w:rPr>
        <w:t xml:space="preserve">Supervisors of </w:t>
      </w:r>
      <w:r w:rsidR="00D905F1" w:rsidRPr="009E4419">
        <w:rPr>
          <w:rFonts w:ascii="Arial" w:hAnsi="Arial" w:cs="Arial"/>
          <w:sz w:val="20"/>
          <w:szCs w:val="20"/>
        </w:rPr>
        <w:t xml:space="preserve">Vietnam National Coal-Mineral Industries Holding Corporation Limited </w:t>
      </w:r>
      <w:r w:rsidR="00D905F1" w:rsidRPr="008A4BE6">
        <w:rPr>
          <w:rFonts w:ascii="Arial" w:hAnsi="Arial" w:cs="Arial"/>
          <w:i/>
          <w:sz w:val="20"/>
          <w:szCs w:val="20"/>
        </w:rPr>
        <w:t>(</w:t>
      </w:r>
      <w:r w:rsidR="00CB5D75" w:rsidRPr="008A4BE6">
        <w:rPr>
          <w:rFonts w:ascii="Arial" w:hAnsi="Arial" w:cs="Arial"/>
          <w:i/>
          <w:sz w:val="20"/>
          <w:szCs w:val="20"/>
        </w:rPr>
        <w:t>attached cur</w:t>
      </w:r>
      <w:r w:rsidR="007A3187" w:rsidRPr="008A4BE6">
        <w:rPr>
          <w:rFonts w:ascii="Arial" w:hAnsi="Arial" w:cs="Arial"/>
          <w:i/>
          <w:sz w:val="20"/>
          <w:szCs w:val="20"/>
        </w:rPr>
        <w:t>r</w:t>
      </w:r>
      <w:r w:rsidR="00CB5D75" w:rsidRPr="008A4BE6">
        <w:rPr>
          <w:rFonts w:ascii="Arial" w:hAnsi="Arial" w:cs="Arial"/>
          <w:i/>
          <w:sz w:val="20"/>
          <w:szCs w:val="20"/>
        </w:rPr>
        <w:t>iculum vitae)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Ms. Le Thi Minh Hong offi</w:t>
      </w:r>
      <w:r w:rsidR="001B2756" w:rsidRPr="009E4419">
        <w:rPr>
          <w:rFonts w:ascii="Arial" w:hAnsi="Arial" w:cs="Arial"/>
          <w:sz w:val="20"/>
          <w:szCs w:val="20"/>
        </w:rPr>
        <w:t>cially becomes a member of the C</w:t>
      </w:r>
      <w:r w:rsidRPr="009E4419">
        <w:rPr>
          <w:rFonts w:ascii="Arial" w:hAnsi="Arial" w:cs="Arial"/>
          <w:sz w:val="20"/>
          <w:szCs w:val="20"/>
        </w:rPr>
        <w:t xml:space="preserve">ompany's </w:t>
      </w:r>
      <w:r w:rsidR="002B3D91" w:rsidRPr="009E4419">
        <w:rPr>
          <w:rFonts w:ascii="Arial" w:hAnsi="Arial" w:cs="Arial"/>
          <w:sz w:val="20"/>
          <w:szCs w:val="20"/>
        </w:rPr>
        <w:t>B</w:t>
      </w:r>
      <w:r w:rsidRPr="009E4419">
        <w:rPr>
          <w:rFonts w:ascii="Arial" w:hAnsi="Arial" w:cs="Arial"/>
          <w:sz w:val="20"/>
          <w:szCs w:val="20"/>
        </w:rPr>
        <w:t>oard</w:t>
      </w:r>
      <w:r w:rsidR="002B3D91" w:rsidRPr="009E4419">
        <w:rPr>
          <w:rFonts w:ascii="Arial" w:hAnsi="Arial" w:cs="Arial"/>
          <w:sz w:val="20"/>
          <w:szCs w:val="20"/>
        </w:rPr>
        <w:t xml:space="preserve"> of Supervisors</w:t>
      </w:r>
      <w:r w:rsidRPr="009E4419">
        <w:rPr>
          <w:rFonts w:ascii="Arial" w:hAnsi="Arial" w:cs="Arial"/>
          <w:sz w:val="20"/>
          <w:szCs w:val="20"/>
        </w:rPr>
        <w:t xml:space="preserve"> from the date </w:t>
      </w:r>
      <w:r w:rsidR="002B3D91" w:rsidRPr="009E4419">
        <w:rPr>
          <w:rFonts w:ascii="Arial" w:hAnsi="Arial" w:cs="Arial"/>
          <w:sz w:val="20"/>
          <w:szCs w:val="20"/>
        </w:rPr>
        <w:t xml:space="preserve">that the </w:t>
      </w:r>
      <w:r w:rsidR="006D3CC2" w:rsidRPr="009E4419">
        <w:rPr>
          <w:rFonts w:ascii="Arial" w:hAnsi="Arial" w:cs="Arial"/>
          <w:sz w:val="20"/>
          <w:szCs w:val="20"/>
        </w:rPr>
        <w:t>Resolution of the A</w:t>
      </w:r>
      <w:r w:rsidRPr="009E4419">
        <w:rPr>
          <w:rFonts w:ascii="Arial" w:hAnsi="Arial" w:cs="Arial"/>
          <w:sz w:val="20"/>
          <w:szCs w:val="20"/>
        </w:rPr>
        <w:t xml:space="preserve">nnual </w:t>
      </w:r>
      <w:r w:rsidR="006D3CC2" w:rsidRPr="009E4419">
        <w:rPr>
          <w:rFonts w:ascii="Arial" w:hAnsi="Arial" w:cs="Arial"/>
          <w:sz w:val="20"/>
          <w:szCs w:val="20"/>
        </w:rPr>
        <w:t>General Meeting of S</w:t>
      </w:r>
      <w:r w:rsidRPr="009E4419">
        <w:rPr>
          <w:rFonts w:ascii="Arial" w:hAnsi="Arial" w:cs="Arial"/>
          <w:sz w:val="20"/>
          <w:szCs w:val="20"/>
        </w:rPr>
        <w:t>hareholders</w:t>
      </w:r>
      <w:r w:rsidR="006D3CC2" w:rsidRPr="009E4419">
        <w:rPr>
          <w:rFonts w:ascii="Arial" w:hAnsi="Arial" w:cs="Arial"/>
          <w:sz w:val="20"/>
          <w:szCs w:val="20"/>
        </w:rPr>
        <w:t xml:space="preserve"> </w:t>
      </w:r>
      <w:r w:rsidRPr="009E4419">
        <w:rPr>
          <w:rFonts w:ascii="Arial" w:hAnsi="Arial" w:cs="Arial"/>
          <w:sz w:val="20"/>
          <w:szCs w:val="20"/>
        </w:rPr>
        <w:t>2017 is ap</w:t>
      </w:r>
      <w:r w:rsidR="006D3CC2" w:rsidRPr="009E4419">
        <w:rPr>
          <w:rFonts w:ascii="Arial" w:hAnsi="Arial" w:cs="Arial"/>
          <w:sz w:val="20"/>
          <w:szCs w:val="20"/>
        </w:rPr>
        <w:t xml:space="preserve">proved until the termination of the Board of </w:t>
      </w:r>
      <w:r w:rsidR="00E8383E" w:rsidRPr="009E4419">
        <w:rPr>
          <w:rFonts w:ascii="Arial" w:hAnsi="Arial" w:cs="Arial"/>
          <w:sz w:val="20"/>
          <w:szCs w:val="20"/>
        </w:rPr>
        <w:t>Supervisors</w:t>
      </w:r>
      <w:r w:rsidRPr="009E4419">
        <w:rPr>
          <w:rFonts w:ascii="Arial" w:hAnsi="Arial" w:cs="Arial"/>
          <w:sz w:val="20"/>
          <w:szCs w:val="20"/>
        </w:rPr>
        <w:t xml:space="preserve"> </w:t>
      </w:r>
      <w:r w:rsidR="00E8383E" w:rsidRPr="009E4419">
        <w:rPr>
          <w:rFonts w:ascii="Arial" w:hAnsi="Arial" w:cs="Arial"/>
          <w:sz w:val="20"/>
          <w:szCs w:val="20"/>
        </w:rPr>
        <w:t>Third T</w:t>
      </w:r>
      <w:r w:rsidRPr="009E4419">
        <w:rPr>
          <w:rFonts w:ascii="Arial" w:hAnsi="Arial" w:cs="Arial"/>
          <w:sz w:val="20"/>
          <w:szCs w:val="20"/>
        </w:rPr>
        <w:t xml:space="preserve">erm or </w:t>
      </w:r>
      <w:r w:rsidR="00E8383E" w:rsidRPr="009E4419">
        <w:rPr>
          <w:rFonts w:ascii="Arial" w:hAnsi="Arial" w:cs="Arial"/>
          <w:sz w:val="20"/>
          <w:szCs w:val="20"/>
        </w:rPr>
        <w:t xml:space="preserve">under </w:t>
      </w:r>
      <w:r w:rsidRPr="009E4419">
        <w:rPr>
          <w:rFonts w:ascii="Arial" w:hAnsi="Arial" w:cs="Arial"/>
          <w:sz w:val="20"/>
          <w:szCs w:val="20"/>
        </w:rPr>
        <w:t>the pr</w:t>
      </w:r>
      <w:r w:rsidR="00E8383E" w:rsidRPr="009E4419">
        <w:rPr>
          <w:rFonts w:ascii="Arial" w:hAnsi="Arial" w:cs="Arial"/>
          <w:sz w:val="20"/>
          <w:szCs w:val="20"/>
        </w:rPr>
        <w:t>ovisions of Company’s Article</w:t>
      </w:r>
      <w:r w:rsidRPr="009E4419">
        <w:rPr>
          <w:rFonts w:ascii="Arial" w:hAnsi="Arial" w:cs="Arial"/>
          <w:sz w:val="20"/>
          <w:szCs w:val="20"/>
        </w:rPr>
        <w:t>.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sz w:val="20"/>
          <w:szCs w:val="20"/>
        </w:rPr>
        <w:t> It is proposed that the Board of Supervisors elect</w:t>
      </w:r>
      <w:r w:rsidR="00ED79B4" w:rsidRPr="009E4419">
        <w:rPr>
          <w:rFonts w:ascii="Arial" w:hAnsi="Arial" w:cs="Arial"/>
          <w:sz w:val="20"/>
          <w:szCs w:val="20"/>
        </w:rPr>
        <w:t>s</w:t>
      </w:r>
      <w:r w:rsidRPr="009E4419">
        <w:rPr>
          <w:rFonts w:ascii="Arial" w:hAnsi="Arial" w:cs="Arial"/>
          <w:sz w:val="20"/>
          <w:szCs w:val="20"/>
        </w:rPr>
        <w:t xml:space="preserve"> the director in accordance with the law and notif</w:t>
      </w:r>
      <w:r w:rsidR="00ED79B4" w:rsidRPr="009E4419">
        <w:rPr>
          <w:rFonts w:ascii="Arial" w:hAnsi="Arial" w:cs="Arial"/>
          <w:sz w:val="20"/>
          <w:szCs w:val="20"/>
        </w:rPr>
        <w:t>ies</w:t>
      </w:r>
      <w:r w:rsidRPr="009E4419">
        <w:rPr>
          <w:rFonts w:ascii="Arial" w:hAnsi="Arial" w:cs="Arial"/>
          <w:sz w:val="20"/>
          <w:szCs w:val="20"/>
        </w:rPr>
        <w:t xml:space="preserve"> in writing to the shareholders in the company and complete</w:t>
      </w:r>
      <w:r w:rsidR="00ED79B4" w:rsidRPr="009E4419">
        <w:rPr>
          <w:rFonts w:ascii="Arial" w:hAnsi="Arial" w:cs="Arial"/>
          <w:sz w:val="20"/>
          <w:szCs w:val="20"/>
        </w:rPr>
        <w:t>s</w:t>
      </w:r>
      <w:r w:rsidRPr="009E4419">
        <w:rPr>
          <w:rFonts w:ascii="Arial" w:hAnsi="Arial" w:cs="Arial"/>
          <w:sz w:val="20"/>
          <w:szCs w:val="20"/>
        </w:rPr>
        <w:t xml:space="preserve"> the necessary procedures to ensure all </w:t>
      </w:r>
      <w:r w:rsidR="00ED79B4" w:rsidRPr="009E4419">
        <w:rPr>
          <w:rFonts w:ascii="Arial" w:hAnsi="Arial" w:cs="Arial"/>
          <w:sz w:val="20"/>
          <w:szCs w:val="20"/>
        </w:rPr>
        <w:t xml:space="preserve">smooth operation </w:t>
      </w:r>
      <w:r w:rsidRPr="009E4419">
        <w:rPr>
          <w:rFonts w:ascii="Arial" w:hAnsi="Arial" w:cs="Arial"/>
          <w:sz w:val="20"/>
          <w:szCs w:val="20"/>
        </w:rPr>
        <w:t>activities of the company.</w:t>
      </w:r>
    </w:p>
    <w:p w:rsidR="00B970F8" w:rsidRPr="009E4419" w:rsidRDefault="00E62D25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b/>
          <w:sz w:val="20"/>
          <w:szCs w:val="20"/>
        </w:rPr>
        <w:t>Article IV: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 </w:t>
      </w:r>
      <w:r w:rsidR="00B970F8" w:rsidRPr="009E4419">
        <w:rPr>
          <w:rFonts w:ascii="Arial" w:hAnsi="Arial" w:cs="Arial"/>
          <w:sz w:val="20"/>
          <w:szCs w:val="20"/>
        </w:rPr>
        <w:t>Annual General Meeting</w:t>
      </w:r>
      <w:r w:rsidR="0003431B" w:rsidRPr="009E4419">
        <w:rPr>
          <w:rFonts w:ascii="Arial" w:hAnsi="Arial" w:cs="Arial"/>
          <w:sz w:val="20"/>
          <w:szCs w:val="20"/>
        </w:rPr>
        <w:t xml:space="preserve"> of Shareholders in 2017 praises the efforts of the Board of D</w:t>
      </w:r>
      <w:r w:rsidR="00B970F8" w:rsidRPr="009E4419">
        <w:rPr>
          <w:rFonts w:ascii="Arial" w:hAnsi="Arial" w:cs="Arial"/>
          <w:sz w:val="20"/>
          <w:szCs w:val="20"/>
        </w:rPr>
        <w:t xml:space="preserve">irectors, </w:t>
      </w:r>
      <w:r w:rsidR="0003431B" w:rsidRPr="009E4419">
        <w:rPr>
          <w:rFonts w:ascii="Arial" w:hAnsi="Arial" w:cs="Arial"/>
          <w:sz w:val="20"/>
          <w:szCs w:val="20"/>
        </w:rPr>
        <w:t>Managers</w:t>
      </w:r>
      <w:r w:rsidR="00B970F8" w:rsidRPr="009E4419">
        <w:rPr>
          <w:rFonts w:ascii="Arial" w:hAnsi="Arial" w:cs="Arial"/>
          <w:sz w:val="20"/>
          <w:szCs w:val="20"/>
        </w:rPr>
        <w:t xml:space="preserve">, </w:t>
      </w:r>
      <w:r w:rsidR="0003431B" w:rsidRPr="009E4419">
        <w:rPr>
          <w:rFonts w:ascii="Arial" w:hAnsi="Arial" w:cs="Arial"/>
          <w:sz w:val="20"/>
          <w:szCs w:val="20"/>
        </w:rPr>
        <w:t>Board of Supervisors</w:t>
      </w:r>
      <w:r w:rsidR="00B970F8" w:rsidRPr="009E4419">
        <w:rPr>
          <w:rFonts w:ascii="Arial" w:hAnsi="Arial" w:cs="Arial"/>
          <w:sz w:val="20"/>
          <w:szCs w:val="20"/>
        </w:rPr>
        <w:t xml:space="preserve"> and all staffs in the company </w:t>
      </w:r>
      <w:r w:rsidR="0003431B" w:rsidRPr="009E4419">
        <w:rPr>
          <w:rFonts w:ascii="Arial" w:hAnsi="Arial" w:cs="Arial"/>
          <w:sz w:val="20"/>
          <w:szCs w:val="20"/>
        </w:rPr>
        <w:t>that made efforts, solidarity; m</w:t>
      </w:r>
      <w:r w:rsidR="00B970F8" w:rsidRPr="009E4419">
        <w:rPr>
          <w:rFonts w:ascii="Arial" w:hAnsi="Arial" w:cs="Arial"/>
          <w:sz w:val="20"/>
          <w:szCs w:val="20"/>
        </w:rPr>
        <w:t>anage</w:t>
      </w:r>
      <w:r w:rsidR="0003431B" w:rsidRPr="009E4419">
        <w:rPr>
          <w:rFonts w:ascii="Arial" w:hAnsi="Arial" w:cs="Arial"/>
          <w:sz w:val="20"/>
          <w:szCs w:val="20"/>
        </w:rPr>
        <w:t>ment, operation</w:t>
      </w:r>
      <w:r w:rsidR="00B970F8" w:rsidRPr="009E4419">
        <w:rPr>
          <w:rFonts w:ascii="Arial" w:hAnsi="Arial" w:cs="Arial"/>
          <w:sz w:val="20"/>
          <w:szCs w:val="20"/>
        </w:rPr>
        <w:t xml:space="preserve"> and work wi</w:t>
      </w:r>
      <w:r w:rsidR="00B51D56" w:rsidRPr="009E4419">
        <w:rPr>
          <w:rFonts w:ascii="Arial" w:hAnsi="Arial" w:cs="Arial"/>
          <w:sz w:val="20"/>
          <w:szCs w:val="20"/>
        </w:rPr>
        <w:t>th high responsibility, overcoming</w:t>
      </w:r>
      <w:r w:rsidR="00B970F8" w:rsidRPr="009E4419">
        <w:rPr>
          <w:rFonts w:ascii="Arial" w:hAnsi="Arial" w:cs="Arial"/>
          <w:sz w:val="20"/>
          <w:szCs w:val="20"/>
        </w:rPr>
        <w:t xml:space="preserve"> difficulties to complete the production and business targets in 2016.</w:t>
      </w:r>
    </w:p>
    <w:p w:rsidR="00B970F8" w:rsidRPr="00AF4A13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F4A13">
        <w:rPr>
          <w:rFonts w:ascii="Arial" w:hAnsi="Arial" w:cs="Arial"/>
          <w:b/>
          <w:sz w:val="20"/>
          <w:szCs w:val="20"/>
        </w:rPr>
        <w:lastRenderedPageBreak/>
        <w:t>Article V</w:t>
      </w:r>
      <w:r w:rsidR="00E62D25" w:rsidRPr="00AF4A13">
        <w:rPr>
          <w:rFonts w:ascii="Arial" w:hAnsi="Arial" w:cs="Arial"/>
          <w:b/>
          <w:sz w:val="20"/>
          <w:szCs w:val="20"/>
        </w:rPr>
        <w:t>:</w:t>
      </w:r>
      <w:r w:rsidR="00E62D25" w:rsidRPr="00AF4A13">
        <w:rPr>
          <w:rFonts w:ascii="Arial" w:hAnsi="Arial" w:cs="Arial"/>
          <w:sz w:val="20"/>
          <w:szCs w:val="20"/>
        </w:rPr>
        <w:t xml:space="preserve"> The General Meeting</w:t>
      </w:r>
      <w:r w:rsidRPr="00AF4A13">
        <w:rPr>
          <w:rFonts w:ascii="Arial" w:hAnsi="Arial" w:cs="Arial"/>
          <w:sz w:val="20"/>
          <w:szCs w:val="20"/>
        </w:rPr>
        <w:t xml:space="preserve"> agrees to assign the Board of Directors to implement</w:t>
      </w:r>
      <w:r w:rsidR="00E62D25" w:rsidRPr="00AF4A13">
        <w:rPr>
          <w:rFonts w:ascii="Arial" w:hAnsi="Arial" w:cs="Arial"/>
          <w:sz w:val="20"/>
          <w:szCs w:val="20"/>
        </w:rPr>
        <w:t xml:space="preserve"> the contents approved at the M</w:t>
      </w:r>
      <w:r w:rsidRPr="00AF4A13">
        <w:rPr>
          <w:rFonts w:ascii="Arial" w:hAnsi="Arial" w:cs="Arial"/>
          <w:sz w:val="20"/>
          <w:szCs w:val="20"/>
        </w:rPr>
        <w:t>eeting in accordance with the provisions of the company</w:t>
      </w:r>
      <w:r w:rsidR="00E62D25" w:rsidRPr="00AF4A13">
        <w:rPr>
          <w:rFonts w:ascii="Arial" w:hAnsi="Arial" w:cs="Arial"/>
          <w:sz w:val="20"/>
          <w:szCs w:val="20"/>
        </w:rPr>
        <w:t>’s</w:t>
      </w:r>
      <w:r w:rsidRPr="00AF4A13">
        <w:rPr>
          <w:rFonts w:ascii="Arial" w:hAnsi="Arial" w:cs="Arial"/>
          <w:sz w:val="20"/>
          <w:szCs w:val="20"/>
        </w:rPr>
        <w:t xml:space="preserve"> charter and the pro</w:t>
      </w:r>
      <w:r w:rsidR="00E62D25" w:rsidRPr="00AF4A13">
        <w:rPr>
          <w:rFonts w:ascii="Arial" w:hAnsi="Arial" w:cs="Arial"/>
          <w:sz w:val="20"/>
          <w:szCs w:val="20"/>
        </w:rPr>
        <w:t xml:space="preserve">visions of the law. The </w:t>
      </w:r>
      <w:r w:rsidRPr="00AF4A13">
        <w:rPr>
          <w:rFonts w:ascii="Arial" w:hAnsi="Arial" w:cs="Arial"/>
          <w:sz w:val="20"/>
          <w:szCs w:val="20"/>
        </w:rPr>
        <w:t>Board</w:t>
      </w:r>
      <w:r w:rsidR="00E62D25" w:rsidRPr="00AF4A13">
        <w:rPr>
          <w:rFonts w:ascii="Arial" w:hAnsi="Arial" w:cs="Arial"/>
          <w:sz w:val="20"/>
          <w:szCs w:val="20"/>
        </w:rPr>
        <w:t xml:space="preserve"> of Supervisors</w:t>
      </w:r>
      <w:r w:rsidRPr="00AF4A13">
        <w:rPr>
          <w:rFonts w:ascii="Arial" w:hAnsi="Arial" w:cs="Arial"/>
          <w:sz w:val="20"/>
          <w:szCs w:val="20"/>
        </w:rPr>
        <w:t xml:space="preserve"> is responsible for inspecting and supervising the implementation of the approved contents at the </w:t>
      </w:r>
      <w:r w:rsidR="00E62D25" w:rsidRPr="00AF4A13">
        <w:rPr>
          <w:rFonts w:ascii="Arial" w:hAnsi="Arial" w:cs="Arial"/>
          <w:sz w:val="20"/>
          <w:szCs w:val="20"/>
        </w:rPr>
        <w:t>M</w:t>
      </w:r>
      <w:r w:rsidRPr="00AF4A13">
        <w:rPr>
          <w:rFonts w:ascii="Arial" w:hAnsi="Arial" w:cs="Arial"/>
          <w:sz w:val="20"/>
          <w:szCs w:val="20"/>
        </w:rPr>
        <w:t>eeting.</w:t>
      </w:r>
    </w:p>
    <w:p w:rsidR="00E353BC" w:rsidRPr="009E4419" w:rsidRDefault="00B970F8" w:rsidP="00551AF7">
      <w:pPr>
        <w:spacing w:before="60" w:after="60" w:line="276" w:lineRule="auto"/>
        <w:ind w:firstLine="720"/>
        <w:jc w:val="both"/>
      </w:pPr>
      <w:r w:rsidRPr="00AF4A13">
        <w:rPr>
          <w:rFonts w:ascii="Arial" w:hAnsi="Arial" w:cs="Arial"/>
          <w:b/>
          <w:sz w:val="20"/>
          <w:szCs w:val="20"/>
        </w:rPr>
        <w:t>Article VI</w:t>
      </w:r>
      <w:r w:rsidR="00E62D25" w:rsidRPr="00AF4A13">
        <w:rPr>
          <w:rFonts w:ascii="Arial" w:hAnsi="Arial" w:cs="Arial"/>
          <w:b/>
          <w:sz w:val="20"/>
          <w:szCs w:val="20"/>
        </w:rPr>
        <w:t>:</w:t>
      </w:r>
      <w:r w:rsidR="00E62D25" w:rsidRPr="00AF4A13">
        <w:rPr>
          <w:rFonts w:ascii="Arial" w:hAnsi="Arial" w:cs="Arial"/>
          <w:sz w:val="20"/>
          <w:szCs w:val="20"/>
        </w:rPr>
        <w:t xml:space="preserve"> The members of the Board of D</w:t>
      </w:r>
      <w:r w:rsidRPr="00AF4A13">
        <w:rPr>
          <w:rFonts w:ascii="Arial" w:hAnsi="Arial" w:cs="Arial"/>
          <w:sz w:val="20"/>
          <w:szCs w:val="20"/>
        </w:rPr>
        <w:t xml:space="preserve">irectors, </w:t>
      </w:r>
      <w:r w:rsidR="00E62D25" w:rsidRPr="00AF4A13">
        <w:rPr>
          <w:rFonts w:ascii="Arial" w:hAnsi="Arial" w:cs="Arial"/>
          <w:sz w:val="20"/>
          <w:szCs w:val="20"/>
        </w:rPr>
        <w:t>B</w:t>
      </w:r>
      <w:r w:rsidRPr="00AF4A13">
        <w:rPr>
          <w:rFonts w:ascii="Arial" w:hAnsi="Arial" w:cs="Arial"/>
          <w:sz w:val="20"/>
          <w:szCs w:val="20"/>
        </w:rPr>
        <w:t>oard</w:t>
      </w:r>
      <w:r w:rsidR="00E62D25" w:rsidRPr="00AF4A13">
        <w:rPr>
          <w:rFonts w:ascii="Arial" w:hAnsi="Arial" w:cs="Arial"/>
          <w:sz w:val="20"/>
          <w:szCs w:val="20"/>
        </w:rPr>
        <w:t xml:space="preserve"> of Supervisors</w:t>
      </w:r>
      <w:r w:rsidRPr="00AF4A13">
        <w:rPr>
          <w:rFonts w:ascii="Arial" w:hAnsi="Arial" w:cs="Arial"/>
          <w:sz w:val="20"/>
          <w:szCs w:val="20"/>
        </w:rPr>
        <w:t xml:space="preserve"> and the </w:t>
      </w:r>
      <w:r w:rsidR="00E62D25" w:rsidRPr="00AF4A13">
        <w:rPr>
          <w:rFonts w:ascii="Arial" w:hAnsi="Arial" w:cs="Arial"/>
          <w:sz w:val="20"/>
          <w:szCs w:val="20"/>
        </w:rPr>
        <w:t>Manager</w:t>
      </w:r>
      <w:r w:rsidR="008A5D83" w:rsidRPr="00AF4A13">
        <w:rPr>
          <w:rFonts w:ascii="Arial" w:hAnsi="Arial" w:cs="Arial"/>
          <w:sz w:val="20"/>
          <w:szCs w:val="20"/>
        </w:rPr>
        <w:t xml:space="preserve"> of the company are responsible for implementing this Resolution</w:t>
      </w:r>
      <w:r w:rsidR="008A5D83" w:rsidRPr="009E4419">
        <w:t>.</w:t>
      </w:r>
    </w:p>
    <w:sectPr w:rsidR="00E353BC" w:rsidRPr="009E4419" w:rsidSect="00A25CF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226A"/>
    <w:multiLevelType w:val="hybridMultilevel"/>
    <w:tmpl w:val="A9D8483A"/>
    <w:lvl w:ilvl="0" w:tplc="53C411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C1056"/>
    <w:multiLevelType w:val="multilevel"/>
    <w:tmpl w:val="6D60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17"/>
    <w:rsid w:val="0000779A"/>
    <w:rsid w:val="0003431B"/>
    <w:rsid w:val="00064D54"/>
    <w:rsid w:val="00071F00"/>
    <w:rsid w:val="00086042"/>
    <w:rsid w:val="000A134E"/>
    <w:rsid w:val="000B0C76"/>
    <w:rsid w:val="000C1ACC"/>
    <w:rsid w:val="00146DFC"/>
    <w:rsid w:val="00177BD9"/>
    <w:rsid w:val="001B2756"/>
    <w:rsid w:val="001F4CD5"/>
    <w:rsid w:val="00206A84"/>
    <w:rsid w:val="00216647"/>
    <w:rsid w:val="00264A54"/>
    <w:rsid w:val="00285566"/>
    <w:rsid w:val="002863C4"/>
    <w:rsid w:val="002A5B93"/>
    <w:rsid w:val="002B3D91"/>
    <w:rsid w:val="00321EB9"/>
    <w:rsid w:val="00325350"/>
    <w:rsid w:val="003512BC"/>
    <w:rsid w:val="003551E1"/>
    <w:rsid w:val="0036222B"/>
    <w:rsid w:val="0038113D"/>
    <w:rsid w:val="0038341E"/>
    <w:rsid w:val="00387568"/>
    <w:rsid w:val="00397D8B"/>
    <w:rsid w:val="003F5D84"/>
    <w:rsid w:val="00412228"/>
    <w:rsid w:val="004B0017"/>
    <w:rsid w:val="00551AF7"/>
    <w:rsid w:val="005536E7"/>
    <w:rsid w:val="00576440"/>
    <w:rsid w:val="00591B71"/>
    <w:rsid w:val="005D51E9"/>
    <w:rsid w:val="005E294B"/>
    <w:rsid w:val="005E31B1"/>
    <w:rsid w:val="00684C17"/>
    <w:rsid w:val="006D3CC2"/>
    <w:rsid w:val="006E0D56"/>
    <w:rsid w:val="007342F9"/>
    <w:rsid w:val="00771C2D"/>
    <w:rsid w:val="00784357"/>
    <w:rsid w:val="007A13B1"/>
    <w:rsid w:val="007A2263"/>
    <w:rsid w:val="007A3187"/>
    <w:rsid w:val="007B2CF8"/>
    <w:rsid w:val="007B430B"/>
    <w:rsid w:val="007B506D"/>
    <w:rsid w:val="007C1CD8"/>
    <w:rsid w:val="007F5E82"/>
    <w:rsid w:val="00833562"/>
    <w:rsid w:val="00870367"/>
    <w:rsid w:val="00880DC8"/>
    <w:rsid w:val="008A4BE6"/>
    <w:rsid w:val="008A5D83"/>
    <w:rsid w:val="00924396"/>
    <w:rsid w:val="00924A2A"/>
    <w:rsid w:val="009459B0"/>
    <w:rsid w:val="00970518"/>
    <w:rsid w:val="00983612"/>
    <w:rsid w:val="009C62BD"/>
    <w:rsid w:val="009D0D03"/>
    <w:rsid w:val="009E4419"/>
    <w:rsid w:val="009E5D9D"/>
    <w:rsid w:val="00A21C75"/>
    <w:rsid w:val="00A25CF3"/>
    <w:rsid w:val="00A50292"/>
    <w:rsid w:val="00A84DFE"/>
    <w:rsid w:val="00AA7F47"/>
    <w:rsid w:val="00AF4A13"/>
    <w:rsid w:val="00B105B7"/>
    <w:rsid w:val="00B13942"/>
    <w:rsid w:val="00B40FB0"/>
    <w:rsid w:val="00B51D56"/>
    <w:rsid w:val="00B57BBE"/>
    <w:rsid w:val="00B970F8"/>
    <w:rsid w:val="00C56C06"/>
    <w:rsid w:val="00CB5D75"/>
    <w:rsid w:val="00CB7021"/>
    <w:rsid w:val="00CC3FB4"/>
    <w:rsid w:val="00CF329C"/>
    <w:rsid w:val="00D36F6A"/>
    <w:rsid w:val="00D4139B"/>
    <w:rsid w:val="00D905F1"/>
    <w:rsid w:val="00DB2211"/>
    <w:rsid w:val="00DC0B22"/>
    <w:rsid w:val="00DD0EB7"/>
    <w:rsid w:val="00DD75D9"/>
    <w:rsid w:val="00E22710"/>
    <w:rsid w:val="00E23AB4"/>
    <w:rsid w:val="00E353BC"/>
    <w:rsid w:val="00E62D25"/>
    <w:rsid w:val="00E8383E"/>
    <w:rsid w:val="00E84D5A"/>
    <w:rsid w:val="00ED79B4"/>
    <w:rsid w:val="00F36313"/>
    <w:rsid w:val="00F37A49"/>
    <w:rsid w:val="00F5187F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98737-0216-4F27-B164-7562D9B1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2BD"/>
    <w:pPr>
      <w:ind w:left="720"/>
      <w:contextualSpacing/>
    </w:pPr>
  </w:style>
  <w:style w:type="table" w:styleId="TableGrid">
    <w:name w:val="Table Grid"/>
    <w:basedOn w:val="TableNormal"/>
    <w:uiPriority w:val="39"/>
    <w:rsid w:val="009C6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21E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QUYẾT ĐỊNH</vt:lpstr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QUYẾT ĐỊNH</dc:title>
  <dc:subject/>
  <dc:creator>VU</dc:creator>
  <cp:keywords/>
  <dc:description/>
  <cp:lastModifiedBy>USER</cp:lastModifiedBy>
  <cp:revision>2</cp:revision>
  <dcterms:created xsi:type="dcterms:W3CDTF">2017-05-05T09:46:00Z</dcterms:created>
  <dcterms:modified xsi:type="dcterms:W3CDTF">2017-05-05T09:46:00Z</dcterms:modified>
</cp:coreProperties>
</file>